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DFE" w:rsidRDefault="00F24EDF">
      <w:pPr>
        <w:autoSpaceDE w:val="0"/>
        <w:autoSpaceDN w:val="0"/>
        <w:adjustRightInd w:val="0"/>
        <w:jc w:val="both"/>
        <w:rPr>
          <w:rFonts w:ascii="Times New Roman" w:hAnsi="Times New Roman" w:cs="Times New Roman"/>
          <w:i/>
          <w:iCs/>
          <w:kern w:val="0"/>
          <w:sz w:val="20"/>
          <w:szCs w:val="20"/>
        </w:rPr>
      </w:pPr>
      <w:r>
        <w:rPr>
          <w:rFonts w:ascii="Times New Roman" w:hAnsi="Times New Roman" w:cs="Times New Roman"/>
          <w:i/>
          <w:iCs/>
          <w:kern w:val="0"/>
          <w:sz w:val="20"/>
          <w:szCs w:val="20"/>
        </w:rPr>
        <w:t>Hong Kong Exchanges and Clearing Limited and The Stock Exchange of Hong Kong Limited</w:t>
      </w:r>
      <w:r>
        <w:rPr>
          <w:rFonts w:ascii="Times New Roman" w:hAnsi="Times New Roman" w:cs="Times New Roman" w:hint="eastAsia"/>
          <w:i/>
          <w:iCs/>
          <w:kern w:val="0"/>
          <w:sz w:val="20"/>
          <w:szCs w:val="20"/>
        </w:rPr>
        <w:t xml:space="preserve"> </w:t>
      </w:r>
      <w:r>
        <w:rPr>
          <w:rFonts w:ascii="Times New Roman" w:hAnsi="Times New Roman" w:cs="Times New Roman"/>
          <w:i/>
          <w:iCs/>
          <w:kern w:val="0"/>
          <w:sz w:val="20"/>
          <w:szCs w:val="20"/>
        </w:rPr>
        <w:t>take no responsibility for the contents of this announcement, make no representation as to its</w:t>
      </w:r>
      <w:r>
        <w:rPr>
          <w:rFonts w:ascii="Times New Roman" w:hAnsi="Times New Roman" w:cs="Times New Roman" w:hint="eastAsia"/>
          <w:i/>
          <w:iCs/>
          <w:kern w:val="0"/>
          <w:sz w:val="20"/>
          <w:szCs w:val="20"/>
        </w:rPr>
        <w:t xml:space="preserve"> </w:t>
      </w:r>
      <w:r>
        <w:rPr>
          <w:rFonts w:ascii="Times New Roman" w:hAnsi="Times New Roman" w:cs="Times New Roman"/>
          <w:i/>
          <w:iCs/>
          <w:kern w:val="0"/>
          <w:sz w:val="20"/>
          <w:szCs w:val="20"/>
        </w:rPr>
        <w:t>accuracy or completeness and expressly disclaim any liability whatsoever for any loss howsoever</w:t>
      </w:r>
      <w:r>
        <w:rPr>
          <w:rFonts w:ascii="Times New Roman" w:hAnsi="Times New Roman" w:cs="Times New Roman" w:hint="eastAsia"/>
          <w:i/>
          <w:iCs/>
          <w:kern w:val="0"/>
          <w:sz w:val="20"/>
          <w:szCs w:val="20"/>
        </w:rPr>
        <w:t xml:space="preserve"> </w:t>
      </w:r>
      <w:r>
        <w:rPr>
          <w:rFonts w:ascii="Times New Roman" w:hAnsi="Times New Roman" w:cs="Times New Roman"/>
          <w:i/>
          <w:iCs/>
          <w:kern w:val="0"/>
          <w:sz w:val="20"/>
          <w:szCs w:val="20"/>
        </w:rPr>
        <w:t xml:space="preserve">arising from or in reliance upon the whole or any part of the contents of this announcement. </w:t>
      </w:r>
    </w:p>
    <w:p w:rsidR="00DB5DFE" w:rsidRDefault="00DB5DFE">
      <w:pPr>
        <w:autoSpaceDE w:val="0"/>
        <w:autoSpaceDN w:val="0"/>
        <w:adjustRightInd w:val="0"/>
        <w:jc w:val="center"/>
        <w:rPr>
          <w:rFonts w:ascii="Times New Roman" w:hAnsi="Times New Roman"/>
          <w:i/>
          <w:kern w:val="0"/>
        </w:rPr>
      </w:pPr>
    </w:p>
    <w:p w:rsidR="00DB5DFE" w:rsidRDefault="00F24EDF">
      <w:pPr>
        <w:widowControl/>
        <w:spacing w:line="0" w:lineRule="atLeast"/>
        <w:ind w:left="3261" w:firstLine="283"/>
        <w:rPr>
          <w:rFonts w:ascii="Times New Roman" w:eastAsia="Times New Roman" w:hAnsi="Times New Roman" w:cs="Times New Roman"/>
          <w:kern w:val="0"/>
          <w:lang w:val="en-HK" w:eastAsia="zh-CN"/>
        </w:rPr>
      </w:pPr>
      <w:r>
        <w:rPr>
          <w:rFonts w:ascii="Times New Roman" w:eastAsia="Times New Roman" w:hAnsi="Times New Roman" w:cs="Times New Roman"/>
          <w:kern w:val="0"/>
          <w:lang w:eastAsia="zh-CN"/>
        </w:rPr>
        <w:t xml:space="preserve"> </w:t>
      </w:r>
      <w:r>
        <w:rPr>
          <w:rFonts w:ascii="Times New Roman" w:eastAsia="Times New Roman" w:hAnsi="Times New Roman" w:cs="Times New Roman"/>
          <w:noProof/>
          <w:kern w:val="0"/>
          <w:lang w:eastAsia="zh-CN"/>
        </w:rPr>
        <w:drawing>
          <wp:inline distT="0" distB="0" distL="0" distR="0">
            <wp:extent cx="697865" cy="687070"/>
            <wp:effectExtent l="0" t="0" r="0" b="0"/>
            <wp:docPr id="1" name="图片 1" descr="page1image3496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697865" cy="687070"/>
                    </a:xfrm>
                    <a:prstGeom prst="rect">
                      <a:avLst/>
                    </a:prstGeom>
                    <a:noFill/>
                    <a:ln w="9525" cap="flat" cmpd="sng">
                      <a:noFill/>
                      <a:prstDash val="solid"/>
                      <a:round/>
                    </a:ln>
                  </pic:spPr>
                </pic:pic>
              </a:graphicData>
            </a:graphic>
          </wp:inline>
        </w:drawing>
      </w:r>
    </w:p>
    <w:p w:rsidR="00DB5DFE" w:rsidRDefault="00F24EDF">
      <w:pPr>
        <w:widowControl/>
        <w:spacing w:line="0" w:lineRule="atLeast"/>
        <w:ind w:left="3686" w:hanging="142"/>
        <w:rPr>
          <w:rFonts w:ascii="Times New Roman" w:eastAsia="Times New Roman" w:hAnsi="Times New Roman" w:cs="Times New Roman"/>
          <w:kern w:val="0"/>
          <w:lang w:val="en-HK" w:eastAsia="zh-CN"/>
        </w:rPr>
      </w:pPr>
      <w:r>
        <w:rPr>
          <w:rFonts w:ascii="Times New Roman" w:eastAsia="Times New Roman" w:hAnsi="Times New Roman" w:cs="Times New Roman"/>
          <w:kern w:val="0"/>
          <w:lang w:eastAsia="zh-CN"/>
        </w:rPr>
        <w:t xml:space="preserve"> </w:t>
      </w:r>
      <w:r>
        <w:rPr>
          <w:rFonts w:ascii="Times New Roman" w:eastAsia="Times New Roman" w:hAnsi="Times New Roman" w:cs="Times New Roman"/>
          <w:noProof/>
          <w:kern w:val="0"/>
          <w:lang w:eastAsia="zh-CN"/>
        </w:rPr>
        <w:drawing>
          <wp:inline distT="0" distB="0" distL="0" distR="0">
            <wp:extent cx="708025" cy="63499"/>
            <wp:effectExtent l="0" t="0" r="0" b="0"/>
            <wp:docPr id="4" name="图片 4" descr="page1image6678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a:stretch>
                      <a:fillRect/>
                    </a:stretch>
                  </pic:blipFill>
                  <pic:spPr>
                    <a:xfrm>
                      <a:off x="0" y="0"/>
                      <a:ext cx="708025" cy="63499"/>
                    </a:xfrm>
                    <a:prstGeom prst="rect">
                      <a:avLst/>
                    </a:prstGeom>
                    <a:noFill/>
                    <a:ln w="9525" cap="flat" cmpd="sng">
                      <a:noFill/>
                      <a:prstDash val="solid"/>
                      <a:round/>
                    </a:ln>
                  </pic:spPr>
                </pic:pic>
              </a:graphicData>
            </a:graphic>
          </wp:inline>
        </w:drawing>
      </w:r>
    </w:p>
    <w:p w:rsidR="00DB5DFE" w:rsidRDefault="00DB5DFE">
      <w:pPr>
        <w:autoSpaceDE w:val="0"/>
        <w:autoSpaceDN w:val="0"/>
        <w:adjustRightInd w:val="0"/>
        <w:jc w:val="center"/>
        <w:rPr>
          <w:rFonts w:ascii="Times New Roman" w:hAnsi="Times New Roman" w:cs="Times New Roman"/>
          <w:kern w:val="0"/>
        </w:rPr>
      </w:pPr>
    </w:p>
    <w:p w:rsidR="00DB5DFE" w:rsidRDefault="00F24EDF">
      <w:pPr>
        <w:autoSpaceDE w:val="0"/>
        <w:autoSpaceDN w:val="0"/>
        <w:adjustRightInd w:val="0"/>
        <w:jc w:val="center"/>
        <w:rPr>
          <w:rFonts w:ascii="Times New Roman" w:hAnsi="Times New Roman" w:cs="Times New Roman"/>
          <w:b/>
          <w:bCs/>
          <w:kern w:val="0"/>
          <w:sz w:val="29"/>
          <w:szCs w:val="29"/>
        </w:rPr>
      </w:pPr>
      <w:r>
        <w:rPr>
          <w:rFonts w:ascii="Times New Roman" w:hAnsi="Times New Roman" w:cs="Times New Roman"/>
          <w:b/>
          <w:bCs/>
          <w:kern w:val="0"/>
          <w:sz w:val="29"/>
          <w:szCs w:val="29"/>
        </w:rPr>
        <w:t>CHINA HIGH PRECISION AUTOMATION GROUP</w:t>
      </w:r>
      <w:r>
        <w:rPr>
          <w:rFonts w:ascii="Times New Roman" w:hAnsi="Times New Roman" w:cs="Times New Roman"/>
          <w:kern w:val="0"/>
          <w:sz w:val="29"/>
          <w:szCs w:val="29"/>
        </w:rPr>
        <w:t xml:space="preserve"> </w:t>
      </w:r>
      <w:r>
        <w:rPr>
          <w:rFonts w:ascii="Times New Roman" w:hAnsi="Times New Roman" w:cs="Times New Roman"/>
          <w:b/>
          <w:bCs/>
          <w:kern w:val="0"/>
          <w:sz w:val="29"/>
          <w:szCs w:val="29"/>
        </w:rPr>
        <w:t>LIMITED</w:t>
      </w:r>
    </w:p>
    <w:p w:rsidR="00DB5DFE" w:rsidRDefault="00F24EDF">
      <w:pPr>
        <w:autoSpaceDE w:val="0"/>
        <w:autoSpaceDN w:val="0"/>
        <w:adjustRightInd w:val="0"/>
        <w:jc w:val="center"/>
        <w:rPr>
          <w:rFonts w:ascii="Times New Roman" w:hAnsi="Times New Roman" w:cs="Times New Roman"/>
          <w:b/>
          <w:bCs/>
          <w:kern w:val="0"/>
          <w:sz w:val="29"/>
          <w:szCs w:val="29"/>
        </w:rPr>
      </w:pPr>
      <w:r>
        <w:rPr>
          <w:rFonts w:ascii="Times New Roman" w:hAnsi="Times New Roman" w:cs="Times New Roman"/>
          <w:b/>
          <w:bCs/>
          <w:kern w:val="0"/>
          <w:sz w:val="29"/>
          <w:szCs w:val="29"/>
        </w:rPr>
        <w:t>中國高精密自動化集團有限公司</w:t>
      </w:r>
    </w:p>
    <w:p w:rsidR="00DB5DFE" w:rsidRDefault="00F24EDF">
      <w:pPr>
        <w:autoSpaceDE w:val="0"/>
        <w:autoSpaceDN w:val="0"/>
        <w:adjustRightInd w:val="0"/>
        <w:jc w:val="center"/>
        <w:rPr>
          <w:rFonts w:ascii="Times New Roman" w:hAnsi="Times New Roman" w:cs="Times New Roman"/>
          <w:i/>
          <w:iCs/>
          <w:kern w:val="0"/>
          <w:sz w:val="20"/>
          <w:szCs w:val="20"/>
        </w:rPr>
      </w:pPr>
      <w:r>
        <w:rPr>
          <w:rFonts w:ascii="Times New Roman" w:hAnsi="Times New Roman" w:cs="Times New Roman"/>
          <w:i/>
          <w:iCs/>
          <w:kern w:val="0"/>
          <w:sz w:val="20"/>
          <w:szCs w:val="20"/>
        </w:rPr>
        <w:t>(Incorporated in the Cayman Islands with limited liability)</w:t>
      </w:r>
    </w:p>
    <w:p w:rsidR="00DB5DFE" w:rsidRDefault="00F24EDF">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(Stock Code: 591)</w:t>
      </w:r>
    </w:p>
    <w:p w:rsidR="00DB5DFE" w:rsidRDefault="00DB5DFE">
      <w:pPr>
        <w:jc w:val="center"/>
        <w:rPr>
          <w:rFonts w:ascii="Times New Roman" w:hAnsi="Times New Roman" w:cs="Times New Roman"/>
          <w:b/>
          <w:bCs/>
          <w:kern w:val="0"/>
        </w:rPr>
      </w:pPr>
    </w:p>
    <w:p w:rsidR="00DB5DFE" w:rsidRDefault="00F24EDF">
      <w:pPr>
        <w:jc w:val="center"/>
        <w:rPr>
          <w:rFonts w:ascii="Times New Roman" w:hAnsi="Times New Roman" w:cs="Times New Roman"/>
          <w:b/>
          <w:bCs/>
        </w:rPr>
      </w:pPr>
      <w:r>
        <w:rPr>
          <w:rFonts w:ascii="Times New Roman" w:hAnsi="Times New Roman" w:cs="Times New Roman"/>
          <w:b/>
          <w:bCs/>
        </w:rPr>
        <w:t>RESUMPTION OF TRADING</w:t>
      </w:r>
    </w:p>
    <w:p w:rsidR="00DB5DFE" w:rsidRDefault="00DB5DFE">
      <w:pPr>
        <w:rPr>
          <w:rFonts w:ascii="Times New Roman" w:hAnsi="Times New Roman" w:cs="Times New Roman"/>
          <w:b/>
          <w:bCs/>
        </w:rPr>
      </w:pPr>
    </w:p>
    <w:p w:rsidR="00DB5DFE" w:rsidRDefault="00F24EDF">
      <w:pPr>
        <w:jc w:val="both"/>
        <w:rPr>
          <w:rFonts w:ascii="Times New Roman" w:hAnsi="Times New Roman" w:cs="Times New Roman"/>
        </w:rPr>
      </w:pPr>
      <w:r>
        <w:rPr>
          <w:rFonts w:ascii="Times New Roman" w:hAnsi="Times New Roman" w:cs="Times New Roman"/>
        </w:rPr>
        <w:t>This announcement is made by China High Precision Automation Group Limited (the “</w:t>
      </w:r>
      <w:r>
        <w:rPr>
          <w:rFonts w:ascii="Times New Roman" w:hAnsi="Times New Roman" w:cs="Times New Roman"/>
          <w:b/>
          <w:bCs/>
        </w:rPr>
        <w:t>Company</w:t>
      </w:r>
      <w:r>
        <w:rPr>
          <w:rFonts w:ascii="Times New Roman" w:hAnsi="Times New Roman" w:cs="Times New Roman"/>
        </w:rPr>
        <w:t>”, together with its subsidiaries, the “</w:t>
      </w:r>
      <w:r>
        <w:rPr>
          <w:rFonts w:ascii="Times New Roman" w:hAnsi="Times New Roman" w:cs="Times New Roman"/>
          <w:b/>
          <w:bCs/>
        </w:rPr>
        <w:t>Group</w:t>
      </w:r>
      <w:r>
        <w:rPr>
          <w:rFonts w:ascii="Times New Roman" w:hAnsi="Times New Roman" w:cs="Times New Roman"/>
        </w:rPr>
        <w:t>”) pursuant to Rule 13.09 of the Rules Governing the Listing of Securities on The Stock Exchange of Hong Kong Limited (the “</w:t>
      </w:r>
      <w:r>
        <w:rPr>
          <w:rFonts w:ascii="Times New Roman" w:hAnsi="Times New Roman" w:cs="Times New Roman"/>
          <w:b/>
          <w:bCs/>
        </w:rPr>
        <w:t>Listing Rules</w:t>
      </w:r>
      <w:r>
        <w:rPr>
          <w:rFonts w:ascii="Times New Roman" w:hAnsi="Times New Roman" w:cs="Times New Roman"/>
        </w:rPr>
        <w:t>”) and the Inside Information provisions under Part XIVA of the Securities and Futures Ordinance (Chapter 571 of the Laws of Hong Kong) (the “</w:t>
      </w:r>
      <w:r>
        <w:rPr>
          <w:rFonts w:ascii="Times New Roman" w:hAnsi="Times New Roman" w:cs="Times New Roman"/>
          <w:b/>
          <w:bCs/>
        </w:rPr>
        <w:t>SFO</w:t>
      </w:r>
      <w:r>
        <w:rPr>
          <w:rFonts w:ascii="Times New Roman" w:hAnsi="Times New Roman" w:cs="Times New Roman"/>
        </w:rPr>
        <w:t>”).</w:t>
      </w:r>
    </w:p>
    <w:p w:rsidR="00DB5DFE" w:rsidRDefault="00DB5DFE">
      <w:pPr>
        <w:jc w:val="both"/>
        <w:rPr>
          <w:rFonts w:ascii="Times New Roman" w:hAnsi="Times New Roman" w:cs="Times New Roman"/>
        </w:rPr>
      </w:pPr>
    </w:p>
    <w:p w:rsidR="00DB5DFE" w:rsidRDefault="00F24EDF">
      <w:pPr>
        <w:jc w:val="both"/>
        <w:rPr>
          <w:rFonts w:ascii="Times New Roman" w:hAnsi="Times New Roman" w:cs="Times New Roman"/>
        </w:rPr>
      </w:pPr>
      <w:r>
        <w:rPr>
          <w:rFonts w:ascii="Times New Roman" w:hAnsi="Times New Roman" w:cs="Times New Roman"/>
        </w:rPr>
        <w:t>Reference is made to the announcements of the Company dated (</w:t>
      </w:r>
      <w:proofErr w:type="spellStart"/>
      <w:r>
        <w:rPr>
          <w:rFonts w:ascii="Times New Roman" w:hAnsi="Times New Roman" w:cs="Times New Roman"/>
        </w:rPr>
        <w:t>i</w:t>
      </w:r>
      <w:proofErr w:type="spellEnd"/>
      <w:r>
        <w:rPr>
          <w:rFonts w:ascii="Times New Roman" w:hAnsi="Times New Roman" w:cs="Times New Roman"/>
        </w:rPr>
        <w:t>) 26 September 2011 (the “</w:t>
      </w:r>
      <w:r>
        <w:rPr>
          <w:rFonts w:ascii="Times New Roman" w:hAnsi="Times New Roman" w:cs="Times New Roman"/>
          <w:b/>
          <w:bCs/>
        </w:rPr>
        <w:t>Annual Results Announcement</w:t>
      </w:r>
      <w:r>
        <w:rPr>
          <w:rFonts w:ascii="Times New Roman" w:hAnsi="Times New Roman" w:cs="Times New Roman"/>
        </w:rPr>
        <w:t>”) in relation to the Company’s annual results for the year ended 30 June 2011 (the “</w:t>
      </w:r>
      <w:r>
        <w:rPr>
          <w:rFonts w:ascii="Times New Roman" w:hAnsi="Times New Roman" w:cs="Times New Roman"/>
          <w:b/>
        </w:rPr>
        <w:t xml:space="preserve">2011 </w:t>
      </w:r>
      <w:r>
        <w:rPr>
          <w:rFonts w:ascii="Times New Roman" w:hAnsi="Times New Roman" w:cs="Times New Roman"/>
          <w:b/>
          <w:bCs/>
        </w:rPr>
        <w:t>Annual Results</w:t>
      </w:r>
      <w:r>
        <w:rPr>
          <w:rFonts w:ascii="Times New Roman" w:hAnsi="Times New Roman" w:cs="Times New Roman"/>
          <w:bCs/>
        </w:rPr>
        <w:t>”</w:t>
      </w:r>
      <w:r>
        <w:rPr>
          <w:rFonts w:ascii="Times New Roman" w:hAnsi="Times New Roman" w:cs="Times New Roman"/>
        </w:rPr>
        <w:t>); (ii) 27 October 2011 in relation to clarification made in respect of the Annual Results Announcement (the “</w:t>
      </w:r>
      <w:r>
        <w:rPr>
          <w:rFonts w:ascii="Times New Roman" w:hAnsi="Times New Roman" w:cs="Times New Roman"/>
          <w:b/>
          <w:bCs/>
        </w:rPr>
        <w:t>Clarification Announcement</w:t>
      </w:r>
      <w:r>
        <w:rPr>
          <w:rFonts w:ascii="Times New Roman" w:hAnsi="Times New Roman" w:cs="Times New Roman"/>
        </w:rPr>
        <w:t xml:space="preserve">”); (iii) 29 November 2011 in relation to the retirement of KPMG as auditors of the Company; (iv) 22 February 2012 in relation to the appointments of </w:t>
      </w:r>
      <w:proofErr w:type="spellStart"/>
      <w:r>
        <w:rPr>
          <w:rFonts w:ascii="Times New Roman" w:hAnsi="Times New Roman" w:cs="Times New Roman"/>
        </w:rPr>
        <w:t>Zhonglei</w:t>
      </w:r>
      <w:proofErr w:type="spellEnd"/>
      <w:r>
        <w:rPr>
          <w:rFonts w:ascii="Times New Roman" w:hAnsi="Times New Roman" w:cs="Times New Roman"/>
        </w:rPr>
        <w:t xml:space="preserve"> Risk Advisory Services Limited (“</w:t>
      </w:r>
      <w:proofErr w:type="spellStart"/>
      <w:r>
        <w:rPr>
          <w:rFonts w:ascii="Times New Roman" w:hAnsi="Times New Roman" w:cs="Times New Roman"/>
          <w:b/>
          <w:bCs/>
        </w:rPr>
        <w:t>Zhonglei</w:t>
      </w:r>
      <w:proofErr w:type="spellEnd"/>
      <w:r>
        <w:rPr>
          <w:rFonts w:ascii="Times New Roman" w:hAnsi="Times New Roman" w:cs="Times New Roman"/>
        </w:rPr>
        <w:t>”) for independent review and investigation (the “</w:t>
      </w:r>
      <w:r>
        <w:rPr>
          <w:rFonts w:ascii="Times New Roman" w:hAnsi="Times New Roman" w:cs="Times New Roman"/>
          <w:b/>
          <w:bCs/>
        </w:rPr>
        <w:t>Independent Review</w:t>
      </w:r>
      <w:r>
        <w:rPr>
          <w:rFonts w:ascii="Times New Roman" w:hAnsi="Times New Roman" w:cs="Times New Roman"/>
        </w:rPr>
        <w:t>”) and Pan-China (H.K.) CPA Limited (“</w:t>
      </w:r>
      <w:r>
        <w:rPr>
          <w:rFonts w:ascii="Times New Roman" w:hAnsi="Times New Roman" w:cs="Times New Roman"/>
          <w:b/>
          <w:bCs/>
        </w:rPr>
        <w:t>Pan-China</w:t>
      </w:r>
      <w:r>
        <w:rPr>
          <w:rFonts w:ascii="Times New Roman" w:hAnsi="Times New Roman" w:cs="Times New Roman"/>
        </w:rPr>
        <w:t>”) for special audit (the “</w:t>
      </w:r>
      <w:r>
        <w:rPr>
          <w:rFonts w:ascii="Times New Roman" w:hAnsi="Times New Roman" w:cs="Times New Roman"/>
          <w:b/>
          <w:bCs/>
        </w:rPr>
        <w:t>1</w:t>
      </w:r>
      <w:r>
        <w:rPr>
          <w:rFonts w:ascii="Times New Roman" w:hAnsi="Times New Roman" w:cs="Times New Roman"/>
          <w:b/>
          <w:bCs/>
          <w:vertAlign w:val="superscript"/>
        </w:rPr>
        <w:t>st</w:t>
      </w:r>
      <w:r>
        <w:rPr>
          <w:rFonts w:ascii="Times New Roman" w:hAnsi="Times New Roman" w:cs="Times New Roman"/>
          <w:b/>
          <w:bCs/>
        </w:rPr>
        <w:t xml:space="preserve"> Special Audit</w:t>
      </w:r>
      <w:r>
        <w:rPr>
          <w:rFonts w:ascii="Times New Roman" w:hAnsi="Times New Roman" w:cs="Times New Roman"/>
        </w:rPr>
        <w:t xml:space="preserve">”) of the </w:t>
      </w:r>
      <w:r>
        <w:rPr>
          <w:rFonts w:ascii="Times New Roman" w:hAnsi="Times New Roman" w:cs="Times New Roman"/>
          <w:bCs/>
        </w:rPr>
        <w:t>2011 Annual Results</w:t>
      </w:r>
      <w:r>
        <w:rPr>
          <w:rFonts w:ascii="Times New Roman" w:hAnsi="Times New Roman" w:cs="Times New Roman"/>
        </w:rPr>
        <w:t xml:space="preserve">; (v) 2 August 2012 in relation to further clarification made in respect of the </w:t>
      </w:r>
      <w:r>
        <w:rPr>
          <w:rFonts w:ascii="Times New Roman" w:hAnsi="Times New Roman" w:cs="Times New Roman"/>
          <w:bCs/>
        </w:rPr>
        <w:t>2011 Annual Results</w:t>
      </w:r>
      <w:r>
        <w:rPr>
          <w:rFonts w:ascii="Times New Roman" w:hAnsi="Times New Roman" w:cs="Times New Roman"/>
        </w:rPr>
        <w:t xml:space="preserve"> and resumption of trading of the Company’s shares (the “</w:t>
      </w:r>
      <w:r>
        <w:rPr>
          <w:rFonts w:ascii="Times New Roman" w:hAnsi="Times New Roman" w:cs="Times New Roman"/>
          <w:b/>
          <w:bCs/>
        </w:rPr>
        <w:t>Shares</w:t>
      </w:r>
      <w:r>
        <w:rPr>
          <w:rFonts w:ascii="Times New Roman" w:hAnsi="Times New Roman" w:cs="Times New Roman"/>
        </w:rPr>
        <w:t>”) (the “</w:t>
      </w:r>
      <w:r>
        <w:rPr>
          <w:rFonts w:ascii="Times New Roman" w:hAnsi="Times New Roman" w:cs="Times New Roman"/>
          <w:b/>
          <w:bCs/>
        </w:rPr>
        <w:t>Further Clarification Announcement</w:t>
      </w:r>
      <w:r>
        <w:rPr>
          <w:rFonts w:ascii="Times New Roman" w:hAnsi="Times New Roman" w:cs="Times New Roman"/>
        </w:rPr>
        <w:t>”); and (vi) 22 August 2012, 20 February 2013, 15 September 2017, 1 August 2018, 19 June 2019, 30 April 2021 and 30 July 2021 in relation to the suspension of trading of the Shares</w:t>
      </w:r>
      <w:r>
        <w:rPr>
          <w:rFonts w:ascii="Times New Roman" w:hAnsi="Times New Roman" w:cs="Times New Roman"/>
          <w:lang w:val="en-GB"/>
        </w:rPr>
        <w:t xml:space="preserve"> on 22 August 2012 at </w:t>
      </w:r>
      <w:r>
        <w:rPr>
          <w:rFonts w:ascii="Times New Roman" w:hAnsi="Times New Roman" w:cs="Times New Roman"/>
          <w:lang w:val="en-GB"/>
        </w:rPr>
        <w:lastRenderedPageBreak/>
        <w:t>the direction of the Securities and Futures Commission (“</w:t>
      </w:r>
      <w:r>
        <w:rPr>
          <w:rFonts w:ascii="Times New Roman" w:hAnsi="Times New Roman" w:cs="Times New Roman"/>
          <w:b/>
          <w:bCs/>
          <w:lang w:val="en-GB"/>
        </w:rPr>
        <w:t>SFC”</w:t>
      </w:r>
      <w:r>
        <w:rPr>
          <w:rFonts w:ascii="Times New Roman" w:hAnsi="Times New Roman" w:cs="Times New Roman"/>
          <w:lang w:val="en-GB"/>
        </w:rPr>
        <w:t>) pursuant to sections 8(1)(a) and 8(1)(c) of the Securities and Futures (Stock Market Listing) Rules</w:t>
      </w:r>
      <w:r>
        <w:rPr>
          <w:rFonts w:ascii="Times New Roman" w:hAnsi="Times New Roman" w:cs="Times New Roman"/>
        </w:rPr>
        <w:t xml:space="preserve"> (the “</w:t>
      </w:r>
      <w:r>
        <w:rPr>
          <w:rFonts w:ascii="Times New Roman" w:hAnsi="Times New Roman" w:cs="Times New Roman"/>
          <w:b/>
          <w:bCs/>
        </w:rPr>
        <w:t>Suspension</w:t>
      </w:r>
      <w:r>
        <w:rPr>
          <w:rFonts w:ascii="Times New Roman" w:hAnsi="Times New Roman" w:cs="Times New Roman"/>
        </w:rPr>
        <w:t>”).</w:t>
      </w:r>
    </w:p>
    <w:p w:rsidR="00DB5DFE" w:rsidRDefault="00DB5DFE">
      <w:pPr>
        <w:jc w:val="both"/>
        <w:rPr>
          <w:rFonts w:ascii="Times New Roman" w:hAnsi="Times New Roman" w:cs="Times New Roman"/>
        </w:rPr>
      </w:pPr>
    </w:p>
    <w:p w:rsidR="00DB5DFE" w:rsidRDefault="00F24EDF">
      <w:pPr>
        <w:jc w:val="both"/>
        <w:rPr>
          <w:rFonts w:ascii="Times New Roman" w:hAnsi="Times New Roman" w:cs="Times New Roman"/>
          <w:lang w:val="en-GB"/>
        </w:rPr>
      </w:pPr>
      <w:r>
        <w:rPr>
          <w:rFonts w:ascii="Times New Roman" w:hAnsi="Times New Roman" w:cs="Times New Roman"/>
          <w:lang w:val="en-GB"/>
        </w:rPr>
        <w:t>The Company has been communicating with the SFC to seek resumption of trading of the Company’s shares on The Stock Exchange of Hong Kong Limited (“</w:t>
      </w:r>
      <w:r>
        <w:rPr>
          <w:rFonts w:ascii="Times New Roman" w:hAnsi="Times New Roman" w:cs="Times New Roman"/>
          <w:b/>
          <w:bCs/>
          <w:lang w:val="en-GB"/>
        </w:rPr>
        <w:t>Stock Exchange</w:t>
      </w:r>
      <w:r>
        <w:rPr>
          <w:rFonts w:ascii="Times New Roman" w:hAnsi="Times New Roman" w:cs="Times New Roman"/>
          <w:lang w:val="en-GB"/>
        </w:rPr>
        <w:t>”).  The SFC sets out a requirement for the resumption that an announcement is to be issued by the Company which should contain disclosures to explain what happened in years 2010-11 leading to the suspension of trading, any unresolved uncertainties and why resumption of trading is now appropriate.</w:t>
      </w:r>
    </w:p>
    <w:p w:rsidR="00DB5DFE" w:rsidRDefault="00DB5DFE">
      <w:pPr>
        <w:jc w:val="both"/>
        <w:rPr>
          <w:rFonts w:ascii="Times New Roman" w:hAnsi="Times New Roman" w:cs="Times New Roman"/>
          <w:lang w:val="en-GB"/>
        </w:rPr>
      </w:pPr>
    </w:p>
    <w:p w:rsidR="00DB5DFE" w:rsidRDefault="00F24EDF">
      <w:pPr>
        <w:pStyle w:val="1"/>
      </w:pPr>
      <w:r>
        <w:t xml:space="preserve">BACKGROUND </w:t>
      </w:r>
    </w:p>
    <w:p w:rsidR="00DB5DFE" w:rsidRDefault="00F24EDF">
      <w:pPr>
        <w:ind w:left="450"/>
        <w:jc w:val="both"/>
        <w:rPr>
          <w:rFonts w:ascii="Times New Roman" w:hAnsi="Times New Roman" w:cs="Times New Roman"/>
        </w:rPr>
      </w:pPr>
      <w:r>
        <w:rPr>
          <w:rFonts w:ascii="Times New Roman" w:hAnsi="Times New Roman" w:cs="Times New Roman"/>
        </w:rPr>
        <w:t>Fujian Wide Plus Precision Instrument Co Ltd (“</w:t>
      </w:r>
      <w:r>
        <w:rPr>
          <w:rFonts w:ascii="Times New Roman" w:hAnsi="Times New Roman" w:cs="Times New Roman"/>
          <w:b/>
        </w:rPr>
        <w:t>FWP</w:t>
      </w:r>
      <w:r>
        <w:rPr>
          <w:rFonts w:ascii="Times New Roman" w:hAnsi="Times New Roman" w:cs="Times New Roman"/>
        </w:rPr>
        <w:t>”) is a wholly-owned subsidiary of the Company established in the People’s Republic of China (the “</w:t>
      </w:r>
      <w:r>
        <w:rPr>
          <w:rFonts w:ascii="Times New Roman" w:hAnsi="Times New Roman" w:cs="Times New Roman"/>
          <w:b/>
        </w:rPr>
        <w:t>PRC</w:t>
      </w:r>
      <w:r>
        <w:rPr>
          <w:rFonts w:ascii="Times New Roman" w:hAnsi="Times New Roman" w:cs="Times New Roman"/>
        </w:rPr>
        <w:t>”). To the best knowledge, information and belief of the directors of the Company (the “</w:t>
      </w:r>
      <w:r>
        <w:rPr>
          <w:rFonts w:ascii="Times New Roman" w:hAnsi="Times New Roman" w:cs="Times New Roman"/>
          <w:b/>
        </w:rPr>
        <w:t>Directors</w:t>
      </w:r>
      <w:r>
        <w:rPr>
          <w:rFonts w:ascii="Times New Roman" w:hAnsi="Times New Roman" w:cs="Times New Roman"/>
        </w:rPr>
        <w:t xml:space="preserve">”), certain products of FWP were and are used in aerospace projects in the PRC, and involve state secrets </w:t>
      </w:r>
      <w:r>
        <w:rPr>
          <w:rFonts w:ascii="Times New Roman" w:hAnsi="Times New Roman" w:cs="Times New Roman" w:hint="eastAsia"/>
        </w:rPr>
        <w:t>under the provisions of the Law of the People</w:t>
      </w:r>
      <w:r>
        <w:rPr>
          <w:rFonts w:ascii="Times New Roman" w:hAnsi="Times New Roman" w:cs="Times New Roman"/>
        </w:rPr>
        <w:t>’</w:t>
      </w:r>
      <w:r>
        <w:rPr>
          <w:rFonts w:ascii="Times New Roman" w:hAnsi="Times New Roman" w:cs="Times New Roman" w:hint="eastAsia"/>
        </w:rPr>
        <w:t>s Republic of China on the Guarding State Secrets (</w:t>
      </w:r>
      <w:r>
        <w:rPr>
          <w:rFonts w:ascii="Times New Roman" w:hAnsi="Times New Roman" w:cs="Times New Roman" w:hint="eastAsia"/>
        </w:rPr>
        <w:t>中華人民共和國保守國家秘密法</w:t>
      </w:r>
      <w:r>
        <w:rPr>
          <w:rFonts w:ascii="Times New Roman" w:hAnsi="Times New Roman" w:cs="Times New Roman" w:hint="eastAsia"/>
        </w:rPr>
        <w:t>)</w:t>
      </w:r>
      <w:r>
        <w:rPr>
          <w:rFonts w:ascii="Times New Roman" w:hAnsi="Times New Roman" w:cs="Times New Roman"/>
        </w:rPr>
        <w:t xml:space="preserve"> (the ‘‘</w:t>
      </w:r>
      <w:r>
        <w:rPr>
          <w:rFonts w:ascii="Times New Roman" w:hAnsi="Times New Roman" w:cs="Times New Roman"/>
          <w:b/>
        </w:rPr>
        <w:t>PRC State Secrets Law</w:t>
      </w:r>
      <w:r>
        <w:rPr>
          <w:rFonts w:ascii="Times New Roman" w:hAnsi="Times New Roman" w:cs="Times New Roman"/>
        </w:rPr>
        <w:t xml:space="preserve">’’) and </w:t>
      </w:r>
      <w:r>
        <w:rPr>
          <w:rFonts w:ascii="Times New Roman" w:hAnsi="Times New Roman" w:cs="Times New Roman"/>
          <w:color w:val="000000"/>
        </w:rPr>
        <w:t>the PRC State Secrets Regulations (the “</w:t>
      </w:r>
      <w:r>
        <w:rPr>
          <w:rFonts w:ascii="Times New Roman" w:hAnsi="Times New Roman" w:cs="Times New Roman"/>
          <w:b/>
          <w:bCs/>
          <w:color w:val="000000"/>
        </w:rPr>
        <w:t>State Secrets Regulations</w:t>
      </w:r>
      <w:r>
        <w:rPr>
          <w:rFonts w:ascii="Times New Roman" w:hAnsi="Times New Roman" w:cs="Times New Roman"/>
          <w:color w:val="000000"/>
        </w:rPr>
        <w:t xml:space="preserve">”) </w:t>
      </w:r>
      <w:r>
        <w:rPr>
          <w:rFonts w:ascii="Times New Roman" w:hAnsi="Times New Roman" w:cs="Times New Roman"/>
        </w:rPr>
        <w:t>in terms of technology and technical specifications of such products.</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rPr>
        <w:t>Owing to such business nature of FWP, the Company needed to address the uncertainties and questions of concerned parties including the Stock Exchange and the SFC as to (</w:t>
      </w:r>
      <w:proofErr w:type="spellStart"/>
      <w:r>
        <w:rPr>
          <w:rFonts w:ascii="Times New Roman" w:hAnsi="Times New Roman" w:cs="Times New Roman"/>
        </w:rPr>
        <w:t>i</w:t>
      </w:r>
      <w:proofErr w:type="spellEnd"/>
      <w:r>
        <w:rPr>
          <w:rFonts w:ascii="Times New Roman" w:hAnsi="Times New Roman" w:cs="Times New Roman"/>
        </w:rPr>
        <w:t xml:space="preserve">) whether FWP’s business involves state secrets; and (ii) any inconsistencies contained in the Group’s accounts and information independently obtained by the concerned parties in relation to the 2011 Annual Results.  As a result, trading of the Shares </w:t>
      </w:r>
      <w:r>
        <w:rPr>
          <w:rFonts w:ascii="Times New Roman" w:hAnsi="Times New Roman" w:cs="Times New Roman"/>
          <w:lang w:val="en-GB"/>
        </w:rPr>
        <w:t>was</w:t>
      </w:r>
      <w:r>
        <w:rPr>
          <w:rFonts w:ascii="Times New Roman" w:hAnsi="Times New Roman" w:cs="Times New Roman"/>
        </w:rPr>
        <w:t xml:space="preserve"> suspended on the Stock Exchange </w:t>
      </w:r>
      <w:r>
        <w:rPr>
          <w:rFonts w:ascii="Times New Roman" w:hAnsi="Times New Roman" w:cs="Times New Roman"/>
          <w:lang w:val="en-GB"/>
        </w:rPr>
        <w:t xml:space="preserve">on 27 October 2011 </w:t>
      </w:r>
      <w:r>
        <w:rPr>
          <w:rFonts w:ascii="Times New Roman" w:hAnsi="Times New Roman" w:cs="Times New Roman"/>
        </w:rPr>
        <w:t>at the request of the Company pending the release of an announcement in respect of such price sensitive information.</w:t>
      </w:r>
      <w:r>
        <w:rPr>
          <w:rFonts w:ascii="Times New Roman" w:hAnsi="Times New Roman" w:cs="Times New Roman"/>
          <w:lang w:val="en-GB"/>
        </w:rPr>
        <w:t xml:space="preserve"> Trading resumed on 3 August 2012 after publication of several announcements which sought to explain the issue of state secrets and the inconsistencies in the accounts, but was suspended again subsequently</w:t>
      </w:r>
      <w:r>
        <w:rPr>
          <w:rFonts w:ascii="Times New Roman" w:hAnsi="Times New Roman" w:cs="Times New Roman"/>
        </w:rPr>
        <w:t xml:space="preserve"> at the direction of the SFC </w:t>
      </w:r>
      <w:r>
        <w:rPr>
          <w:rFonts w:ascii="Times New Roman" w:hAnsi="Times New Roman" w:cs="Times New Roman"/>
          <w:lang w:val="en-GB"/>
        </w:rPr>
        <w:t xml:space="preserve">under the Suspension </w:t>
      </w:r>
      <w:r>
        <w:rPr>
          <w:rFonts w:ascii="Times New Roman" w:hAnsi="Times New Roman" w:cs="Times New Roman"/>
        </w:rPr>
        <w:t>on 22 August 2012.  Further details of the Suspension are set out in the paragraph headed “</w:t>
      </w:r>
      <w:r>
        <w:rPr>
          <w:rFonts w:ascii="Times New Roman" w:hAnsi="Times New Roman" w:cs="Times New Roman"/>
          <w:b/>
        </w:rPr>
        <w:t>Circumstances leading up to the Suspension</w:t>
      </w:r>
      <w:r>
        <w:rPr>
          <w:rFonts w:ascii="Times New Roman" w:hAnsi="Times New Roman" w:cs="Times New Roman"/>
        </w:rPr>
        <w:t>” and the uncertainties raised by concerned parties and the relevant explanations are set out in the paragraph headed “</w:t>
      </w:r>
      <w:r>
        <w:rPr>
          <w:rFonts w:ascii="Times New Roman" w:eastAsia="宋体" w:hAnsi="Times New Roman" w:cs="Times New Roman" w:hint="eastAsia"/>
          <w:b/>
          <w:lang w:eastAsia="zh-CN"/>
        </w:rPr>
        <w:t>Explanation to the issues and r</w:t>
      </w:r>
      <w:r>
        <w:rPr>
          <w:rFonts w:ascii="Times New Roman" w:hAnsi="Times New Roman" w:cs="Times New Roman"/>
          <w:b/>
        </w:rPr>
        <w:t>easons for the resumption of trading</w:t>
      </w:r>
      <w:r>
        <w:rPr>
          <w:rFonts w:ascii="Times New Roman" w:hAnsi="Times New Roman" w:cs="Times New Roman"/>
        </w:rPr>
        <w:t>” below.</w:t>
      </w:r>
    </w:p>
    <w:p w:rsidR="00DB5DFE" w:rsidRDefault="00DB5DFE">
      <w:pPr>
        <w:ind w:left="450"/>
        <w:jc w:val="both"/>
        <w:rPr>
          <w:rFonts w:ascii="Times New Roman" w:hAnsi="Times New Roman" w:cs="Times New Roman"/>
        </w:rPr>
      </w:pPr>
    </w:p>
    <w:p w:rsidR="00DB5DFE" w:rsidRDefault="00F24EDF">
      <w:pPr>
        <w:pStyle w:val="1"/>
      </w:pPr>
      <w:r>
        <w:t xml:space="preserve">CIRCUMSTANCES LEADING UP TO THE SUSPENSION </w:t>
      </w:r>
    </w:p>
    <w:p w:rsidR="00DB5DFE" w:rsidRDefault="00F24EDF">
      <w:pPr>
        <w:ind w:left="450"/>
        <w:jc w:val="both"/>
        <w:rPr>
          <w:rFonts w:ascii="Times New Roman" w:hAnsi="Times New Roman" w:cs="Times New Roman"/>
        </w:rPr>
      </w:pPr>
      <w:r>
        <w:rPr>
          <w:rFonts w:ascii="Times New Roman" w:hAnsi="Times New Roman" w:cs="Times New Roman"/>
        </w:rPr>
        <w:t xml:space="preserve">After publication of the Annual Results Announcement by the Company on 26 September 2011, the Company’s then auditors, KPMG, informed the Company that it obtained a report from its agent in relation to the financial information of </w:t>
      </w:r>
      <w:r>
        <w:rPr>
          <w:rFonts w:ascii="Times New Roman" w:hAnsi="Times New Roman" w:cs="Times New Roman"/>
          <w:bCs/>
        </w:rPr>
        <w:t>FWP for 2010</w:t>
      </w:r>
      <w:r>
        <w:rPr>
          <w:rFonts w:ascii="Times New Roman" w:hAnsi="Times New Roman" w:cs="Times New Roman"/>
        </w:rPr>
        <w:t>, which they alleged the source of data was mainly from the filings of Fuzhou Economic and Technological Development Zone Administration for Industry and Commerce (</w:t>
      </w:r>
      <w:r>
        <w:rPr>
          <w:rFonts w:ascii="Times New Roman" w:hAnsi="Times New Roman" w:cs="Times New Roman" w:hint="eastAsia"/>
        </w:rPr>
        <w:t>福州經濟技術開發區工商行政管理局</w:t>
      </w:r>
      <w:r>
        <w:rPr>
          <w:rFonts w:ascii="Times New Roman" w:hAnsi="Times New Roman" w:cs="Times New Roman"/>
        </w:rPr>
        <w:t>) (“</w:t>
      </w:r>
      <w:r>
        <w:rPr>
          <w:rFonts w:ascii="Times New Roman" w:hAnsi="Times New Roman" w:cs="Times New Roman"/>
          <w:b/>
          <w:bCs/>
        </w:rPr>
        <w:t>Fuzhou AIC</w:t>
      </w:r>
      <w:r>
        <w:rPr>
          <w:rFonts w:ascii="Times New Roman" w:hAnsi="Times New Roman" w:cs="Times New Roman"/>
        </w:rPr>
        <w:t xml:space="preserve">”) and were inconsistent with </w:t>
      </w:r>
      <w:r>
        <w:rPr>
          <w:rFonts w:ascii="Times New Roman" w:eastAsia="宋体" w:hAnsi="Times New Roman" w:cs="Times New Roman" w:hint="eastAsia"/>
          <w:lang w:eastAsia="zh-CN"/>
        </w:rPr>
        <w:t>FWP</w:t>
      </w:r>
      <w:r>
        <w:rPr>
          <w:rFonts w:ascii="Times New Roman" w:hAnsi="Times New Roman" w:cs="Times New Roman"/>
        </w:rPr>
        <w:t xml:space="preserve">’s accounting records.  Accordingly, KPMG requested to conduct an extended audit of </w:t>
      </w:r>
      <w:r>
        <w:rPr>
          <w:rFonts w:ascii="Times New Roman" w:eastAsia="宋体" w:hAnsi="Times New Roman" w:cs="Times New Roman" w:hint="eastAsia"/>
          <w:lang w:eastAsia="zh-CN"/>
        </w:rPr>
        <w:t>FWP</w:t>
      </w:r>
      <w:r>
        <w:rPr>
          <w:rFonts w:ascii="Times New Roman" w:hAnsi="Times New Roman" w:cs="Times New Roman"/>
        </w:rPr>
        <w:t>’s accounts for the year ended 30 June 2011.</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rPr>
        <w:t xml:space="preserve">According to the opinion of the Company’s legal adviser as to the laws of the PRC </w:t>
      </w:r>
      <w:r>
        <w:rPr>
          <w:rFonts w:ascii="Times New Roman" w:hAnsi="Times New Roman" w:cs="Times New Roman" w:hint="eastAsia"/>
        </w:rPr>
        <w:t xml:space="preserve">and the relevant governmental agency of the </w:t>
      </w:r>
      <w:r>
        <w:rPr>
          <w:rFonts w:ascii="Times New Roman" w:hAnsi="Times New Roman" w:cs="Times New Roman"/>
        </w:rPr>
        <w:t>PRC</w:t>
      </w:r>
      <w:r>
        <w:rPr>
          <w:rFonts w:ascii="Times New Roman" w:hAnsi="Times New Roman" w:cs="Times New Roman" w:hint="eastAsia"/>
        </w:rPr>
        <w:t xml:space="preserve">, the </w:t>
      </w:r>
      <w:r>
        <w:rPr>
          <w:rFonts w:ascii="Times New Roman" w:hAnsi="Times New Roman" w:cs="Times New Roman"/>
        </w:rPr>
        <w:t>additional supporting documents required by KPMG (the “</w:t>
      </w:r>
      <w:r>
        <w:rPr>
          <w:rFonts w:ascii="Times New Roman" w:hAnsi="Times New Roman" w:cs="Times New Roman"/>
          <w:b/>
        </w:rPr>
        <w:t>Additional Information</w:t>
      </w:r>
      <w:r>
        <w:rPr>
          <w:rFonts w:ascii="Times New Roman" w:hAnsi="Times New Roman" w:cs="Times New Roman"/>
        </w:rPr>
        <w:t>”) were</w:t>
      </w:r>
      <w:r>
        <w:rPr>
          <w:rFonts w:ascii="Times New Roman" w:hAnsi="Times New Roman" w:cs="Times New Roman" w:hint="eastAsia"/>
        </w:rPr>
        <w:t xml:space="preserve"> classified as state secrets under the provisions of the </w:t>
      </w:r>
      <w:r>
        <w:rPr>
          <w:rFonts w:ascii="Times New Roman" w:hAnsi="Times New Roman" w:cs="Times New Roman"/>
        </w:rPr>
        <w:t xml:space="preserve">PRC State Secrets Law.  The Company was therefore unable to satisfy KPMG’s request for obtaining the Additional Information since it would result in violation of the PRC State Secrets Law. </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rPr>
        <w:t xml:space="preserve">Since KPMG was unable to obtain the Additional Information to </w:t>
      </w:r>
      <w:proofErr w:type="spellStart"/>
      <w:r>
        <w:rPr>
          <w:rFonts w:ascii="Times New Roman" w:hAnsi="Times New Roman" w:cs="Times New Roman"/>
        </w:rPr>
        <w:t>finalise</w:t>
      </w:r>
      <w:proofErr w:type="spellEnd"/>
      <w:r>
        <w:rPr>
          <w:rFonts w:ascii="Times New Roman" w:hAnsi="Times New Roman" w:cs="Times New Roman"/>
        </w:rPr>
        <w:t xml:space="preserve"> the auditor’s report, the Company announced on 27 October 2011 in the Clarification Announcement that KPMG issued a </w:t>
      </w:r>
      <w:r>
        <w:rPr>
          <w:rFonts w:ascii="Times New Roman" w:hAnsi="Times New Roman" w:cs="Times New Roman"/>
          <w:lang w:val="en-GB"/>
        </w:rPr>
        <w:t>disclaimer of</w:t>
      </w:r>
      <w:r>
        <w:rPr>
          <w:rFonts w:ascii="Times New Roman" w:hAnsi="Times New Roman" w:cs="Times New Roman"/>
        </w:rPr>
        <w:t xml:space="preserve"> opinion (the extract of which was set out in the Clarification Announcement) in the auditor’s report (the “</w:t>
      </w:r>
      <w:r>
        <w:rPr>
          <w:rFonts w:ascii="Times New Roman" w:hAnsi="Times New Roman" w:cs="Times New Roman"/>
          <w:b/>
          <w:bCs/>
        </w:rPr>
        <w:t>Auditor’s Report</w:t>
      </w:r>
      <w:r>
        <w:rPr>
          <w:rFonts w:ascii="Times New Roman" w:hAnsi="Times New Roman" w:cs="Times New Roman"/>
        </w:rPr>
        <w:t>”), and that trading in the Shares on the Stock Exchange, which was suspended earlier pending the release of the Clarification Announcement, would remain suspended.</w:t>
      </w:r>
    </w:p>
    <w:p w:rsidR="00DB5DFE" w:rsidRDefault="00DB5DFE">
      <w:pPr>
        <w:ind w:left="450"/>
        <w:jc w:val="both"/>
        <w:rPr>
          <w:rFonts w:ascii="Times New Roman" w:hAnsi="Times New Roman" w:cs="Times New Roman"/>
        </w:rPr>
      </w:pPr>
    </w:p>
    <w:p w:rsidR="00DB5DFE" w:rsidRDefault="00F24EDF">
      <w:pPr>
        <w:pStyle w:val="2"/>
        <w:jc w:val="both"/>
      </w:pPr>
      <w:r>
        <w:t xml:space="preserve">Events and work done by the Company prior to the </w:t>
      </w:r>
      <w:r>
        <w:rPr>
          <w:lang w:val="en-GB"/>
        </w:rPr>
        <w:t>Suspension</w:t>
      </w:r>
    </w:p>
    <w:p w:rsidR="00DB5DFE" w:rsidRDefault="00DB5DFE"/>
    <w:p w:rsidR="00DB5DFE" w:rsidRDefault="00F24EDF">
      <w:pPr>
        <w:ind w:left="450"/>
        <w:jc w:val="both"/>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 18 November 2011, an independent special committee of the Company (the “</w:t>
      </w:r>
      <w:r>
        <w:rPr>
          <w:rFonts w:ascii="Times New Roman" w:hAnsi="Times New Roman" w:cs="Times New Roman"/>
          <w:b/>
          <w:bCs/>
        </w:rPr>
        <w:t>Special Committee</w:t>
      </w:r>
      <w:r>
        <w:rPr>
          <w:rFonts w:ascii="Times New Roman" w:hAnsi="Times New Roman" w:cs="Times New Roman"/>
        </w:rPr>
        <w:t>”) was established to evaluate the impact of the disclaimer of opinion of the Auditor’s Report.</w:t>
      </w:r>
    </w:p>
    <w:p w:rsidR="00DB5DFE" w:rsidRDefault="00DB5DFE">
      <w:pPr>
        <w:ind w:left="450"/>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 29 November 2011, the Company announced that KPMG retired as auditors of the Group with effect from the conclusion of the annual general meeting of the Company held on the same date and did not stand for re-appointment as auditor of the Company.</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 xml:space="preserve">n 22 February 2012, the Company announced that the Special Committee had appointed </w:t>
      </w:r>
      <w:proofErr w:type="spellStart"/>
      <w:r>
        <w:rPr>
          <w:rFonts w:ascii="Times New Roman" w:hAnsi="Times New Roman" w:cs="Times New Roman"/>
        </w:rPr>
        <w:t>Zhonglei</w:t>
      </w:r>
      <w:proofErr w:type="spellEnd"/>
      <w:r>
        <w:rPr>
          <w:rFonts w:ascii="Times New Roman" w:hAnsi="Times New Roman" w:cs="Times New Roman"/>
        </w:rPr>
        <w:t xml:space="preserve"> to perform the Independent Review, and Pan-China to perform the 1</w:t>
      </w:r>
      <w:r>
        <w:rPr>
          <w:rFonts w:ascii="Times New Roman" w:hAnsi="Times New Roman" w:cs="Times New Roman"/>
          <w:vertAlign w:val="superscript"/>
        </w:rPr>
        <w:t>st</w:t>
      </w:r>
      <w:r>
        <w:rPr>
          <w:rFonts w:ascii="Times New Roman" w:hAnsi="Times New Roman" w:cs="Times New Roman"/>
        </w:rPr>
        <w:t xml:space="preserve"> Special Audit on the consolidated financial statements of the Group for the year ended 30 June 2011 in accordance with Hong Kong Standards on Auditing issued by Hong Kong Institute of Certified Public Accountants (“</w:t>
      </w:r>
      <w:r>
        <w:rPr>
          <w:rFonts w:ascii="Times New Roman" w:hAnsi="Times New Roman" w:cs="Times New Roman"/>
          <w:b/>
        </w:rPr>
        <w:t>HKICPA</w:t>
      </w:r>
      <w:r>
        <w:rPr>
          <w:rFonts w:ascii="Times New Roman" w:hAnsi="Times New Roman" w:cs="Times New Roman"/>
        </w:rPr>
        <w:t>”) as to whether the consolidated financial statements of the Group for the year ended 30 June 2011 gave a true and fair view in accordance with Hong Kong Financial Reporting Standards issued by HKICPA.  The Independent Review and the 1</w:t>
      </w:r>
      <w:r>
        <w:rPr>
          <w:rFonts w:ascii="Times New Roman" w:hAnsi="Times New Roman" w:cs="Times New Roman"/>
          <w:vertAlign w:val="superscript"/>
        </w:rPr>
        <w:t>st</w:t>
      </w:r>
      <w:r>
        <w:rPr>
          <w:rFonts w:ascii="Times New Roman" w:hAnsi="Times New Roman" w:cs="Times New Roman"/>
        </w:rPr>
        <w:t xml:space="preserve"> Special Audit were completed on 30 July 2012. </w:t>
      </w:r>
      <w:r>
        <w:rPr>
          <w:rFonts w:ascii="Times New Roman" w:hAnsi="Times New Roman" w:cs="Times New Roman"/>
        </w:rPr>
        <w:br/>
      </w:r>
    </w:p>
    <w:p w:rsidR="00DB5DFE" w:rsidRDefault="00F24EDF">
      <w:pPr>
        <w:ind w:left="450"/>
        <w:jc w:val="both"/>
        <w:rPr>
          <w:rFonts w:ascii="Times New Roman" w:hAnsi="Times New Roman" w:cs="Times New Roman"/>
        </w:rPr>
      </w:pPr>
      <w:r>
        <w:rPr>
          <w:rFonts w:ascii="Times New Roman" w:hAnsi="Times New Roman" w:cs="Times New Roman"/>
        </w:rPr>
        <w:t>In respect of the Independent Review, among others, it was found that: (</w:t>
      </w:r>
      <w:proofErr w:type="spellStart"/>
      <w:r>
        <w:rPr>
          <w:rFonts w:ascii="Times New Roman" w:hAnsi="Times New Roman" w:cs="Times New Roman"/>
        </w:rPr>
        <w:t>i</w:t>
      </w:r>
      <w:proofErr w:type="spellEnd"/>
      <w:r>
        <w:rPr>
          <w:rFonts w:ascii="Times New Roman" w:hAnsi="Times New Roman" w:cs="Times New Roman"/>
        </w:rPr>
        <w:t xml:space="preserve">) the PRC State Secrets Bureau had confirmed that the business of FWP involved state secrets, and in the course of audit or investigation, FWP was obliged to comply with the PRC State Secrets Law and other applicable regulations and must not disclose or supply information which involves state secrets; and (ii) no significant contradiction was found between </w:t>
      </w:r>
      <w:proofErr w:type="spellStart"/>
      <w:r>
        <w:rPr>
          <w:rFonts w:ascii="Times New Roman" w:hAnsi="Times New Roman" w:cs="Times New Roman"/>
        </w:rPr>
        <w:t>Zhonglei’s</w:t>
      </w:r>
      <w:proofErr w:type="spellEnd"/>
      <w:r>
        <w:rPr>
          <w:rFonts w:ascii="Times New Roman" w:hAnsi="Times New Roman" w:cs="Times New Roman"/>
        </w:rPr>
        <w:t xml:space="preserve"> findings and the Company’s explanation that the discrepancies between the information contained in the accounting records and certain governmental </w:t>
      </w:r>
      <w:r>
        <w:rPr>
          <w:rFonts w:ascii="Times New Roman" w:eastAsia="宋体" w:hAnsi="Times New Roman" w:cs="Times New Roman" w:hint="eastAsia"/>
        </w:rPr>
        <w:t>platforms</w:t>
      </w:r>
      <w:r>
        <w:rPr>
          <w:rFonts w:ascii="Times New Roman" w:hAnsi="Times New Roman" w:cs="Times New Roman"/>
        </w:rPr>
        <w:t xml:space="preserve"> in the PRC were caused by compliance with the PRC State Secrets Law, whereby such information was subject to processing by the relevant PRC governmental departments. </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s for the 1</w:t>
      </w:r>
      <w:r>
        <w:rPr>
          <w:rFonts w:ascii="Times New Roman" w:hAnsi="Times New Roman" w:cs="Times New Roman"/>
          <w:vertAlign w:val="superscript"/>
        </w:rPr>
        <w:t>st</w:t>
      </w:r>
      <w:r>
        <w:rPr>
          <w:rFonts w:ascii="Times New Roman" w:hAnsi="Times New Roman" w:cs="Times New Roman"/>
        </w:rPr>
        <w:t xml:space="preserve"> Special Audit, among others, </w:t>
      </w:r>
      <w:r>
        <w:rPr>
          <w:rFonts w:ascii="Times New Roman" w:hAnsi="Times New Roman" w:cs="Times New Roman" w:hint="eastAsia"/>
        </w:rPr>
        <w:t>P</w:t>
      </w:r>
      <w:r>
        <w:rPr>
          <w:rFonts w:ascii="Times New Roman" w:hAnsi="Times New Roman" w:cs="Times New Roman"/>
        </w:rPr>
        <w:t xml:space="preserve">an-China concluded that it was satisfied that sufficient audit work had been done to address the inconsistencies raised by KPMG and that there was no evidence to conclude that there were irregularities in the turnover and business transactions of the Group as reported in the annual report for the 2011 Annual Results.  Therefore, it issued an unqualified audit opinion that the financial statements in the annual report for the 2011 Annual Results reflected a true and fair view of the state of the affairs of the Group.  Further details of the work done and findings of </w:t>
      </w:r>
      <w:proofErr w:type="spellStart"/>
      <w:r>
        <w:rPr>
          <w:rFonts w:ascii="Times New Roman" w:hAnsi="Times New Roman" w:cs="Times New Roman"/>
        </w:rPr>
        <w:t>Zhonglei</w:t>
      </w:r>
      <w:proofErr w:type="spellEnd"/>
      <w:r>
        <w:rPr>
          <w:rFonts w:ascii="Times New Roman" w:hAnsi="Times New Roman" w:cs="Times New Roman"/>
        </w:rPr>
        <w:t xml:space="preserve"> as well as the audit work and Special Audit report of Pan-China are set out in the Further Clarification Announcement.</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bookmarkStart w:id="0" w:name="_BPDCD_51"/>
      <w:r>
        <w:rPr>
          <w:rFonts w:ascii="Times New Roman" w:hAnsi="Times New Roman" w:cs="Times New Roman" w:hint="eastAsia"/>
        </w:rPr>
        <w:t>O</w:t>
      </w:r>
      <w:r>
        <w:rPr>
          <w:rFonts w:ascii="Times New Roman" w:hAnsi="Times New Roman" w:cs="Times New Roman"/>
        </w:rPr>
        <w:t xml:space="preserve">n 2 August 2012, the Company issued the Further Clarification Announcement setting out in summary the findings from </w:t>
      </w:r>
      <w:proofErr w:type="spellStart"/>
      <w:r>
        <w:rPr>
          <w:rFonts w:ascii="Times New Roman" w:hAnsi="Times New Roman" w:cs="Times New Roman"/>
        </w:rPr>
        <w:t>Zhonglei’s</w:t>
      </w:r>
      <w:proofErr w:type="spellEnd"/>
      <w:r>
        <w:rPr>
          <w:rFonts w:ascii="Times New Roman" w:hAnsi="Times New Roman" w:cs="Times New Roman"/>
        </w:rPr>
        <w:t xml:space="preserve"> Independent Review and Pan-China’s 1st Special Audit.  The Group also obtained a second legal opinion, which stated that </w:t>
      </w:r>
      <w:bookmarkStart w:id="1" w:name="_BPDCMF_52"/>
      <w:bookmarkStart w:id="2" w:name="_BPDCD_53"/>
      <w:bookmarkEnd w:id="0"/>
      <w:r>
        <w:rPr>
          <w:rFonts w:ascii="Times New Roman" w:hAnsi="Times New Roman" w:cs="Times New Roman"/>
        </w:rPr>
        <w:t xml:space="preserve">the PRC State Secrets Bureau had confirmed that the business of FWP involved state secrets, and in the course of audit or investigation, FWP was obliged </w:t>
      </w:r>
      <w:r>
        <w:rPr>
          <w:rFonts w:ascii="Times New Roman" w:hAnsi="Times New Roman" w:cs="Times New Roman"/>
        </w:rPr>
        <w:lastRenderedPageBreak/>
        <w:t>to comply with the PRC State Secrets Law and other applicable regulations and must not disclose or supply information which involves state secrets</w:t>
      </w:r>
      <w:bookmarkEnd w:id="1"/>
      <w:r>
        <w:rPr>
          <w:rFonts w:ascii="Times New Roman" w:hAnsi="Times New Roman" w:cs="Times New Roman"/>
        </w:rPr>
        <w:t>.</w:t>
      </w:r>
    </w:p>
    <w:p w:rsidR="00DB5DFE" w:rsidRDefault="00DB5DFE">
      <w:pPr>
        <w:pStyle w:val="ListParagraph1"/>
        <w:ind w:leftChars="0" w:left="450"/>
        <w:jc w:val="both"/>
        <w:rPr>
          <w:rFonts w:ascii="等线" w:cs="Times New Roman"/>
          <w:lang w:val="zh-HK" w:eastAsia="zh-CN"/>
        </w:rPr>
      </w:pPr>
    </w:p>
    <w:p w:rsidR="00DB5DFE" w:rsidRDefault="00F24EDF">
      <w:pPr>
        <w:ind w:left="450"/>
        <w:jc w:val="both"/>
        <w:rPr>
          <w:rFonts w:ascii="Times New Roman" w:hAnsi="Times New Roman" w:cs="Times New Roman"/>
        </w:rPr>
      </w:pPr>
      <w:r>
        <w:rPr>
          <w:rFonts w:ascii="Times New Roman" w:hAnsi="Times New Roman" w:cs="Times New Roman"/>
        </w:rPr>
        <w:t xml:space="preserve">It was also stated in the Further Clarification Announcement that after reviewing, </w:t>
      </w:r>
      <w:r>
        <w:rPr>
          <w:rFonts w:ascii="Times New Roman" w:hAnsi="Times New Roman" w:cs="Times New Roman"/>
          <w:i/>
          <w:iCs/>
        </w:rPr>
        <w:t>inter alia</w:t>
      </w:r>
      <w:r>
        <w:rPr>
          <w:rFonts w:ascii="Times New Roman" w:hAnsi="Times New Roman" w:cs="Times New Roman"/>
        </w:rPr>
        <w:t>, the report of the Independent Review and the 1</w:t>
      </w:r>
      <w:r>
        <w:rPr>
          <w:rFonts w:ascii="Times New Roman" w:hAnsi="Times New Roman" w:cs="Times New Roman"/>
          <w:vertAlign w:val="superscript"/>
        </w:rPr>
        <w:t>st</w:t>
      </w:r>
      <w:r>
        <w:rPr>
          <w:rFonts w:ascii="Times New Roman" w:hAnsi="Times New Roman" w:cs="Times New Roman"/>
        </w:rPr>
        <w:t xml:space="preserve"> Special Audit and the PRC legal opinion, the Special Committee was satisfied that the Group’s financial statements were true and correct in all material respects. </w:t>
      </w:r>
      <w:bookmarkEnd w:id="2"/>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rPr>
        <w:t>In light of the findings of the Independent Review and the 1</w:t>
      </w:r>
      <w:r>
        <w:rPr>
          <w:rFonts w:ascii="Times New Roman" w:hAnsi="Times New Roman" w:cs="Times New Roman"/>
          <w:vertAlign w:val="superscript"/>
        </w:rPr>
        <w:t>st</w:t>
      </w:r>
      <w:r>
        <w:rPr>
          <w:rFonts w:ascii="Times New Roman" w:hAnsi="Times New Roman" w:cs="Times New Roman"/>
        </w:rPr>
        <w:t xml:space="preserve"> Special Audit, the Board applied to the Stock Exchange for resumption of trading in its Shares on 3 August 2012.  The application was approved by the Stock Exchange and trading of the Shares resumed from 9:00 a.m. on 3 August 2012.</w:t>
      </w:r>
    </w:p>
    <w:p w:rsidR="00DB5DFE" w:rsidRDefault="00DB5DFE">
      <w:pPr>
        <w:ind w:left="450"/>
        <w:jc w:val="both"/>
        <w:rPr>
          <w:rFonts w:ascii="Times New Roman" w:hAnsi="Times New Roman" w:cs="Times New Roman"/>
        </w:rPr>
      </w:pPr>
    </w:p>
    <w:p w:rsidR="00DB5DFE" w:rsidRDefault="00F24EDF">
      <w:pPr>
        <w:pStyle w:val="1"/>
      </w:pPr>
      <w:r>
        <w:t>THE SUSPENSION</w:t>
      </w:r>
      <w:r>
        <w:rPr>
          <w:rFonts w:hint="eastAsia"/>
          <w:lang w:eastAsia="zh-CN"/>
        </w:rPr>
        <w:t xml:space="preserve"> </w:t>
      </w:r>
    </w:p>
    <w:p w:rsidR="00DB5DFE" w:rsidRDefault="00F24EDF">
      <w:pPr>
        <w:pStyle w:val="3"/>
      </w:pPr>
      <w:r>
        <w:rPr>
          <w:rStyle w:val="30"/>
        </w:rPr>
        <w:t xml:space="preserve">Letter from the SFC </w:t>
      </w:r>
    </w:p>
    <w:p w:rsidR="00DB5DFE" w:rsidRDefault="00F24EDF">
      <w:pPr>
        <w:ind w:left="450"/>
        <w:jc w:val="both"/>
        <w:rPr>
          <w:rFonts w:ascii="Times New Roman" w:hAnsi="Times New Roman" w:cs="Times New Roman"/>
        </w:rPr>
      </w:pPr>
      <w:r>
        <w:rPr>
          <w:rFonts w:ascii="Times New Roman" w:hAnsi="Times New Roman" w:cs="Times New Roman"/>
        </w:rPr>
        <w:t>On 20 August 2012, the Company received a letter (the “</w:t>
      </w:r>
      <w:r>
        <w:rPr>
          <w:rFonts w:ascii="Times New Roman" w:hAnsi="Times New Roman" w:cs="Times New Roman"/>
          <w:b/>
          <w:bCs/>
        </w:rPr>
        <w:t>SFC Letter</w:t>
      </w:r>
      <w:r>
        <w:rPr>
          <w:rFonts w:ascii="Times New Roman" w:hAnsi="Times New Roman" w:cs="Times New Roman"/>
        </w:rPr>
        <w:t>”) from the SFC’s Enforcement Division (the “</w:t>
      </w:r>
      <w:r>
        <w:rPr>
          <w:rFonts w:ascii="Times New Roman" w:hAnsi="Times New Roman" w:cs="Times New Roman"/>
          <w:b/>
        </w:rPr>
        <w:t>SFC ENF</w:t>
      </w:r>
      <w:r>
        <w:rPr>
          <w:rFonts w:ascii="Times New Roman" w:hAnsi="Times New Roman" w:cs="Times New Roman"/>
        </w:rPr>
        <w:t xml:space="preserve">”) indicating its intention to direct the Suspension. In the SFC Letter, SFC ENF raised various concerns in relation to the management and/or operation of the </w:t>
      </w:r>
      <w:r>
        <w:rPr>
          <w:rFonts w:ascii="Times New Roman" w:eastAsia="宋体" w:hAnsi="Times New Roman" w:cs="Times New Roman" w:hint="eastAsia"/>
          <w:lang w:eastAsia="zh-CN"/>
        </w:rPr>
        <w:t>Group</w:t>
      </w:r>
      <w:r>
        <w:rPr>
          <w:rFonts w:ascii="Times New Roman" w:hAnsi="Times New Roman" w:cs="Times New Roman"/>
        </w:rPr>
        <w:t xml:space="preserve">, including, </w:t>
      </w:r>
      <w:r>
        <w:rPr>
          <w:rFonts w:ascii="Times New Roman" w:hAnsi="Times New Roman" w:cs="Times New Roman"/>
          <w:i/>
          <w:iCs/>
        </w:rPr>
        <w:t>inter alia</w:t>
      </w:r>
      <w:r>
        <w:rPr>
          <w:rFonts w:ascii="Times New Roman" w:hAnsi="Times New Roman" w:cs="Times New Roman"/>
        </w:rPr>
        <w:t>, the following:</w:t>
      </w:r>
    </w:p>
    <w:p w:rsidR="00DB5DFE" w:rsidRDefault="00DB5DFE">
      <w:pPr>
        <w:ind w:left="450"/>
        <w:jc w:val="both"/>
        <w:rPr>
          <w:rFonts w:ascii="Times New Roman" w:hAnsi="Times New Roman" w:cs="Times New Roman"/>
        </w:rPr>
      </w:pPr>
    </w:p>
    <w:p w:rsidR="00DB5DFE" w:rsidRDefault="00F24EDF">
      <w:pPr>
        <w:pStyle w:val="ListParagraph1"/>
        <w:numPr>
          <w:ilvl w:val="0"/>
          <w:numId w:val="1"/>
        </w:numPr>
        <w:ind w:leftChars="0" w:left="1080" w:hanging="630"/>
        <w:jc w:val="both"/>
        <w:rPr>
          <w:rFonts w:ascii="Times New Roman" w:hAnsi="Times New Roman" w:cs="Times New Roman"/>
        </w:rPr>
      </w:pPr>
      <w:r>
        <w:rPr>
          <w:rFonts w:ascii="Times New Roman" w:hAnsi="Times New Roman" w:cs="Times New Roman"/>
          <w:i/>
        </w:rPr>
        <w:t xml:space="preserve">Inconsistencies alleged by KPMG. </w:t>
      </w:r>
      <w:r>
        <w:rPr>
          <w:rFonts w:ascii="Times New Roman" w:hAnsi="Times New Roman" w:cs="Times New Roman"/>
        </w:rPr>
        <w:t>The inconsistencies identified by KPMG</w:t>
      </w:r>
      <w:r>
        <w:rPr>
          <w:rFonts w:ascii="Times New Roman" w:hAnsi="Times New Roman" w:cs="Times New Roman"/>
          <w:lang w:val="en-GB"/>
        </w:rPr>
        <w:t xml:space="preserve"> between the information contained in the Group’s accounting records and information allegedly sourced from filings of Fuzhou AIC</w:t>
      </w:r>
      <w:r>
        <w:rPr>
          <w:rFonts w:ascii="Times New Roman" w:hAnsi="Times New Roman" w:cs="Times New Roman"/>
        </w:rPr>
        <w:t xml:space="preserve"> obtained through its agent (“</w:t>
      </w:r>
      <w:r>
        <w:rPr>
          <w:rFonts w:ascii="Times New Roman" w:hAnsi="Times New Roman" w:cs="Times New Roman"/>
          <w:b/>
        </w:rPr>
        <w:t>Alleged Inconsistencies</w:t>
      </w:r>
      <w:r>
        <w:rPr>
          <w:rFonts w:ascii="Times New Roman" w:hAnsi="Times New Roman" w:cs="Times New Roman"/>
        </w:rPr>
        <w:t>”) and their impact on the Group’s 2011 Annual Results were not addressed in the Further Clarification Announcement.</w:t>
      </w:r>
      <w:r>
        <w:rPr>
          <w:rFonts w:ascii="Times New Roman" w:hAnsi="Times New Roman" w:cs="Times New Roman"/>
        </w:rPr>
        <w:br/>
      </w:r>
    </w:p>
    <w:p w:rsidR="00DB5DFE" w:rsidRDefault="00F24EDF">
      <w:pPr>
        <w:pStyle w:val="ListParagraph1"/>
        <w:numPr>
          <w:ilvl w:val="0"/>
          <w:numId w:val="1"/>
        </w:numPr>
        <w:ind w:leftChars="0" w:left="1080" w:hanging="630"/>
        <w:jc w:val="both"/>
        <w:rPr>
          <w:rFonts w:ascii="Times New Roman" w:hAnsi="Times New Roman" w:cs="Times New Roman"/>
        </w:rPr>
      </w:pPr>
      <w:r>
        <w:rPr>
          <w:rFonts w:ascii="Times New Roman" w:hAnsi="Times New Roman" w:cs="Times New Roman"/>
          <w:i/>
        </w:rPr>
        <w:t xml:space="preserve">Another set of alleged filings. </w:t>
      </w:r>
      <w:r>
        <w:rPr>
          <w:rFonts w:ascii="Times New Roman" w:hAnsi="Times New Roman" w:cs="Times New Roman"/>
        </w:rPr>
        <w:t>A set of records was obtained by the SFC through its agent sourced from Fuzhou AIC (the “</w:t>
      </w:r>
      <w:r>
        <w:rPr>
          <w:rFonts w:ascii="Times New Roman" w:hAnsi="Times New Roman" w:cs="Times New Roman"/>
          <w:b/>
          <w:bCs/>
        </w:rPr>
        <w:t>Earlier AIC Report</w:t>
      </w:r>
      <w:r>
        <w:rPr>
          <w:rFonts w:ascii="Times New Roman" w:hAnsi="Times New Roman" w:cs="Times New Roman"/>
        </w:rPr>
        <w:t xml:space="preserve">”). The Earlier AIC Report and the documents contained substantially different financial information for 2010 from the information contained in the AIC report obtained by </w:t>
      </w:r>
      <w:proofErr w:type="spellStart"/>
      <w:r>
        <w:rPr>
          <w:rFonts w:ascii="Times New Roman" w:hAnsi="Times New Roman" w:cs="Times New Roman"/>
        </w:rPr>
        <w:t>Zhonglei</w:t>
      </w:r>
      <w:proofErr w:type="spellEnd"/>
      <w:r>
        <w:rPr>
          <w:rFonts w:ascii="Times New Roman" w:hAnsi="Times New Roman" w:cs="Times New Roman"/>
        </w:rPr>
        <w:t xml:space="preserve"> during its Independent Review and FWP’s 2010 accounts audited by a local auditor.  </w:t>
      </w:r>
      <w:r>
        <w:rPr>
          <w:rFonts w:ascii="Times New Roman" w:hAnsi="Times New Roman" w:cs="Times New Roman"/>
          <w:lang w:val="en-GB" w:eastAsia="zh-CN"/>
        </w:rPr>
        <w:t xml:space="preserve">As the Stock Exchange had not seen the Earlier AIC Report (the existence of which was not known to the Company) and was not appraised about the difference in adjustment of turnover figure made by </w:t>
      </w:r>
      <w:proofErr w:type="spellStart"/>
      <w:r>
        <w:rPr>
          <w:rFonts w:ascii="Times New Roman" w:hAnsi="Times New Roman" w:cs="Times New Roman"/>
          <w:color w:val="000000"/>
        </w:rPr>
        <w:t>Mawei</w:t>
      </w:r>
      <w:proofErr w:type="spellEnd"/>
      <w:r>
        <w:rPr>
          <w:rFonts w:ascii="Times New Roman" w:hAnsi="Times New Roman" w:cs="Times New Roman"/>
          <w:color w:val="000000"/>
        </w:rPr>
        <w:t xml:space="preserve"> Financial and Technical District Committee below (</w:t>
      </w:r>
      <w:r>
        <w:rPr>
          <w:rFonts w:ascii="Times New Roman" w:hAnsi="Times New Roman" w:cs="Times New Roman" w:hint="eastAsia"/>
          <w:color w:val="000000"/>
        </w:rPr>
        <w:t>馬尾經濟技術區管委會</w:t>
      </w:r>
      <w:r>
        <w:rPr>
          <w:rFonts w:ascii="Times New Roman" w:hAnsi="Times New Roman" w:cs="Times New Roman"/>
          <w:color w:val="000000"/>
        </w:rPr>
        <w:t>) (“</w:t>
      </w:r>
      <w:proofErr w:type="spellStart"/>
      <w:r>
        <w:rPr>
          <w:rFonts w:ascii="Times New Roman" w:hAnsi="Times New Roman" w:cs="Times New Roman"/>
          <w:b/>
          <w:bCs/>
          <w:color w:val="000000"/>
        </w:rPr>
        <w:t>Mawei</w:t>
      </w:r>
      <w:proofErr w:type="spellEnd"/>
      <w:r>
        <w:rPr>
          <w:rFonts w:ascii="Times New Roman" w:hAnsi="Times New Roman" w:cs="Times New Roman"/>
          <w:b/>
          <w:bCs/>
          <w:color w:val="000000"/>
        </w:rPr>
        <w:t xml:space="preserve"> Bureau</w:t>
      </w:r>
      <w:r>
        <w:rPr>
          <w:rFonts w:ascii="Times New Roman" w:hAnsi="Times New Roman" w:cs="Times New Roman"/>
          <w:color w:val="000000"/>
        </w:rPr>
        <w:t>”)</w:t>
      </w:r>
      <w:r>
        <w:rPr>
          <w:rFonts w:ascii="Times New Roman" w:hAnsi="Times New Roman" w:cs="Times New Roman"/>
          <w:lang w:val="en-GB" w:eastAsia="zh-CN"/>
        </w:rPr>
        <w:t xml:space="preserve">, the concern was that </w:t>
      </w:r>
      <w:r>
        <w:rPr>
          <w:rFonts w:ascii="Times New Roman" w:hAnsi="Times New Roman" w:cs="Times New Roman"/>
          <w:lang w:val="en-GB" w:eastAsia="zh-CN"/>
        </w:rPr>
        <w:lastRenderedPageBreak/>
        <w:t>the resumption was allowed by the Listing Division of the Stock Exchange without having full access to all relevant information known to the Company and they were denied the opportunity to fully assess the credibility of the Company’s explanations.</w:t>
      </w:r>
    </w:p>
    <w:p w:rsidR="00DB5DFE" w:rsidRDefault="00DB5DFE">
      <w:pPr>
        <w:jc w:val="both"/>
        <w:rPr>
          <w:rFonts w:ascii="Times New Roman" w:hAnsi="Times New Roman" w:cs="Times New Roman"/>
        </w:rPr>
      </w:pPr>
    </w:p>
    <w:p w:rsidR="00DB5DFE" w:rsidRDefault="00F24EDF">
      <w:pPr>
        <w:pStyle w:val="ListParagraph1"/>
        <w:numPr>
          <w:ilvl w:val="0"/>
          <w:numId w:val="1"/>
        </w:numPr>
        <w:ind w:leftChars="0" w:left="1080" w:hanging="630"/>
        <w:jc w:val="both"/>
        <w:rPr>
          <w:rFonts w:ascii="Times New Roman" w:hAnsi="Times New Roman" w:cs="Times New Roman"/>
        </w:rPr>
      </w:pPr>
      <w:r>
        <w:rPr>
          <w:rFonts w:ascii="Times New Roman" w:hAnsi="Times New Roman" w:cs="Times New Roman"/>
          <w:i/>
          <w:lang w:val="en-GB"/>
        </w:rPr>
        <w:t>Company’s explanations fail to account for d</w:t>
      </w:r>
      <w:proofErr w:type="spellStart"/>
      <w:r>
        <w:rPr>
          <w:rFonts w:ascii="Times New Roman" w:hAnsi="Times New Roman" w:cs="Times New Roman"/>
          <w:i/>
        </w:rPr>
        <w:t>ifference</w:t>
      </w:r>
      <w:proofErr w:type="spellEnd"/>
      <w:r>
        <w:rPr>
          <w:rFonts w:ascii="Times New Roman" w:hAnsi="Times New Roman" w:cs="Times New Roman"/>
          <w:i/>
        </w:rPr>
        <w:t xml:space="preserve"> in turnover figures. </w:t>
      </w:r>
      <w:r>
        <w:rPr>
          <w:rFonts w:ascii="Times New Roman" w:hAnsi="Times New Roman" w:cs="Times New Roman"/>
        </w:rPr>
        <w:t xml:space="preserve">FWP filed financial information with </w:t>
      </w:r>
      <w:proofErr w:type="spellStart"/>
      <w:r>
        <w:rPr>
          <w:rFonts w:ascii="Times New Roman" w:hAnsi="Times New Roman" w:cs="Times New Roman"/>
          <w:color w:val="000000"/>
        </w:rPr>
        <w:t>Mawei</w:t>
      </w:r>
      <w:proofErr w:type="spellEnd"/>
      <w:r>
        <w:rPr>
          <w:rFonts w:ascii="Times New Roman" w:hAnsi="Times New Roman" w:cs="Times New Roman"/>
          <w:color w:val="000000"/>
        </w:rPr>
        <w:t xml:space="preserve"> Bureau</w:t>
      </w:r>
      <w:r>
        <w:rPr>
          <w:rFonts w:ascii="Times New Roman" w:hAnsi="Times New Roman" w:cs="Times New Roman"/>
        </w:rPr>
        <w:t xml:space="preserve">. The </w:t>
      </w:r>
      <w:r>
        <w:rPr>
          <w:rFonts w:ascii="Times New Roman" w:hAnsi="Times New Roman" w:cs="Times New Roman"/>
          <w:color w:val="000000"/>
        </w:rPr>
        <w:t>turnover</w:t>
      </w:r>
      <w:r>
        <w:rPr>
          <w:rFonts w:ascii="Times New Roman" w:eastAsia="宋体" w:hAnsi="Times New Roman" w:cs="Times New Roman" w:hint="eastAsia"/>
          <w:color w:val="000000"/>
          <w:lang w:eastAsia="zh-CN"/>
        </w:rPr>
        <w:t xml:space="preserve"> for 2010</w:t>
      </w:r>
      <w:r>
        <w:rPr>
          <w:rFonts w:ascii="Times New Roman" w:hAnsi="Times New Roman" w:cs="Times New Roman"/>
        </w:rPr>
        <w:t xml:space="preserve"> represented by </w:t>
      </w:r>
      <w:proofErr w:type="spellStart"/>
      <w:r>
        <w:rPr>
          <w:rFonts w:ascii="Times New Roman" w:hAnsi="Times New Roman" w:cs="Times New Roman"/>
        </w:rPr>
        <w:t>Mawei</w:t>
      </w:r>
      <w:proofErr w:type="spellEnd"/>
      <w:r>
        <w:rPr>
          <w:rFonts w:ascii="Times New Roman" w:hAnsi="Times New Roman" w:cs="Times New Roman"/>
        </w:rPr>
        <w:t xml:space="preserve"> Bureau was materially higher than the turnover recorded in </w:t>
      </w:r>
      <w:r>
        <w:rPr>
          <w:rFonts w:ascii="Times New Roman" w:eastAsia="宋体" w:hAnsi="Times New Roman" w:cs="Times New Roman"/>
          <w:lang w:eastAsia="zh-CN"/>
        </w:rPr>
        <w:t>FWP</w:t>
      </w:r>
      <w:r>
        <w:rPr>
          <w:rFonts w:ascii="Times New Roman" w:hAnsi="Times New Roman" w:cs="Times New Roman"/>
        </w:rPr>
        <w:t xml:space="preserve">’s accounting records. If governmental platforms were stripping out transactions over which state secrecy claims had been made, then the turnover represented by the </w:t>
      </w:r>
      <w:proofErr w:type="spellStart"/>
      <w:r>
        <w:rPr>
          <w:rFonts w:ascii="Times New Roman" w:hAnsi="Times New Roman" w:cs="Times New Roman"/>
        </w:rPr>
        <w:t>Mawei</w:t>
      </w:r>
      <w:proofErr w:type="spellEnd"/>
      <w:r>
        <w:rPr>
          <w:rFonts w:ascii="Times New Roman" w:hAnsi="Times New Roman" w:cs="Times New Roman"/>
        </w:rPr>
        <w:t xml:space="preserve"> Bureau ought to have been lower than the</w:t>
      </w:r>
      <w:r>
        <w:rPr>
          <w:rFonts w:ascii="Times New Roman" w:eastAsia="宋体" w:hAnsi="Times New Roman" w:cs="Times New Roman" w:hint="eastAsia"/>
          <w:lang w:eastAsia="zh-CN"/>
        </w:rPr>
        <w:t xml:space="preserve"> turnover</w:t>
      </w:r>
      <w:r>
        <w:rPr>
          <w:rFonts w:ascii="Times New Roman" w:hAnsi="Times New Roman" w:cs="Times New Roman"/>
        </w:rPr>
        <w:t xml:space="preserve"> amount claimed in FWP’s management accounts, and not higher.</w:t>
      </w:r>
    </w:p>
    <w:p w:rsidR="00DB5DFE" w:rsidRDefault="00DB5DFE">
      <w:pPr>
        <w:pStyle w:val="ListParagraph1"/>
        <w:ind w:leftChars="0" w:left="0"/>
        <w:jc w:val="both"/>
        <w:rPr>
          <w:rFonts w:ascii="Times New Roman" w:eastAsia="PMingLiU" w:hAnsi="Times New Roman" w:cs="Times New Roman"/>
          <w:i/>
        </w:rPr>
      </w:pPr>
    </w:p>
    <w:p w:rsidR="00DB5DFE" w:rsidRDefault="00F24EDF">
      <w:pPr>
        <w:pStyle w:val="ListParagraph1"/>
        <w:numPr>
          <w:ilvl w:val="0"/>
          <w:numId w:val="1"/>
        </w:numPr>
        <w:ind w:leftChars="0" w:left="1080" w:hanging="630"/>
        <w:jc w:val="both"/>
        <w:rPr>
          <w:rFonts w:ascii="Times New Roman" w:hAnsi="Times New Roman" w:cs="Times New Roman"/>
        </w:rPr>
      </w:pPr>
      <w:r>
        <w:rPr>
          <w:rFonts w:ascii="Times New Roman" w:hAnsi="Times New Roman" w:cs="Times New Roman"/>
          <w:i/>
        </w:rPr>
        <w:t xml:space="preserve">State secrets. </w:t>
      </w:r>
      <w:r>
        <w:rPr>
          <w:rFonts w:ascii="Times New Roman" w:hAnsi="Times New Roman" w:cs="Times New Roman"/>
        </w:rPr>
        <w:t>The Clarification Announcement and the Further Clarification Announcement contained no substantiation of the claim that the business of FWP involved state secrets.</w:t>
      </w:r>
    </w:p>
    <w:p w:rsidR="00DB5DFE" w:rsidRDefault="00DB5DFE">
      <w:pPr>
        <w:pStyle w:val="ListParagraph1"/>
        <w:ind w:left="480"/>
        <w:rPr>
          <w:rFonts w:ascii="Times New Roman" w:hAnsi="Times New Roman" w:cs="Times New Roman"/>
        </w:rPr>
      </w:pPr>
    </w:p>
    <w:p w:rsidR="00DB5DFE" w:rsidRDefault="00F24EDF">
      <w:pPr>
        <w:pStyle w:val="ListParagraph1"/>
        <w:numPr>
          <w:ilvl w:val="0"/>
          <w:numId w:val="1"/>
        </w:numPr>
        <w:ind w:leftChars="0" w:left="1080" w:hanging="630"/>
        <w:jc w:val="both"/>
        <w:rPr>
          <w:rFonts w:ascii="Times New Roman" w:hAnsi="Times New Roman" w:cs="Times New Roman"/>
        </w:rPr>
      </w:pPr>
      <w:r>
        <w:rPr>
          <w:rFonts w:ascii="Times New Roman" w:hAnsi="Times New Roman" w:cs="Times New Roman"/>
          <w:iCs/>
          <w:lang w:val="en-GB" w:eastAsia="zh-CN"/>
        </w:rPr>
        <w:t>Whether all the discrepant information has been the subject of a full audit in accordance with applicable standards.</w:t>
      </w:r>
    </w:p>
    <w:p w:rsidR="00DB5DFE" w:rsidRDefault="00DB5DFE">
      <w:pPr>
        <w:pStyle w:val="ListParagraph1"/>
        <w:ind w:leftChars="0" w:left="1080"/>
        <w:jc w:val="both"/>
        <w:rPr>
          <w:rFonts w:ascii="Times New Roman" w:hAnsi="Times New Roman" w:cs="Times New Roman"/>
          <w:i/>
          <w:lang w:eastAsia="zh-CN"/>
        </w:rPr>
      </w:pPr>
    </w:p>
    <w:p w:rsidR="00DB5DFE" w:rsidRDefault="00F24EDF">
      <w:pPr>
        <w:ind w:left="450"/>
        <w:jc w:val="both"/>
        <w:rPr>
          <w:lang w:val="en-GB" w:eastAsia="zh-CN"/>
        </w:rPr>
      </w:pPr>
      <w:r>
        <w:rPr>
          <w:rFonts w:ascii="Times New Roman" w:hAnsi="Times New Roman" w:cs="Times New Roman" w:hint="eastAsia"/>
        </w:rPr>
        <w:t>O</w:t>
      </w:r>
      <w:r>
        <w:rPr>
          <w:rFonts w:ascii="Times New Roman" w:hAnsi="Times New Roman" w:cs="Times New Roman"/>
        </w:rPr>
        <w:t xml:space="preserve">n 21 August 2012, the Company replied to SFC ENF on the issues raised and stated, inter alia, that the Earlier AIC Report was not issued by Fuzhou AIC and questioned the authenticity and the source of the Earlier AIC Report.  </w:t>
      </w:r>
      <w:r>
        <w:rPr>
          <w:rFonts w:ascii="Times New Roman" w:hAnsi="Times New Roman" w:cs="Times New Roman"/>
          <w:lang w:val="en-GB"/>
        </w:rPr>
        <w:t>The Company explained that</w:t>
      </w:r>
      <w:r>
        <w:rPr>
          <w:lang w:val="en-GB" w:eastAsia="zh-CN"/>
        </w:rPr>
        <w:t xml:space="preserve"> </w:t>
      </w:r>
      <w:r>
        <w:rPr>
          <w:rFonts w:ascii="Times New Roman" w:hAnsi="Times New Roman" w:cs="Times New Roman"/>
          <w:lang w:val="en-GB" w:eastAsia="zh-CN"/>
        </w:rPr>
        <w:t xml:space="preserve">the discrepancies were due to compliance with the State Secret Law and that according to their understanding, the </w:t>
      </w:r>
      <w:proofErr w:type="spellStart"/>
      <w:r>
        <w:rPr>
          <w:rFonts w:ascii="Times New Roman" w:hAnsi="Times New Roman" w:cs="Times New Roman"/>
          <w:lang w:val="en-GB" w:eastAsia="zh-CN"/>
        </w:rPr>
        <w:t>Mawei</w:t>
      </w:r>
      <w:proofErr w:type="spellEnd"/>
      <w:r>
        <w:rPr>
          <w:rFonts w:ascii="Times New Roman" w:hAnsi="Times New Roman" w:cs="Times New Roman"/>
          <w:lang w:val="en-GB" w:eastAsia="zh-CN"/>
        </w:rPr>
        <w:t xml:space="preserve"> Bureau could adjust the amount of financial information being filed not only by exclusion, but also by increasing the amount according to their own judgment or directions from other governmental departments in order to comply with the State Secret Laws.</w:t>
      </w:r>
    </w:p>
    <w:p w:rsidR="00DB5DFE" w:rsidRDefault="00DB5DFE">
      <w:pPr>
        <w:ind w:left="450"/>
        <w:jc w:val="both"/>
        <w:rPr>
          <w:lang w:val="en-GB" w:eastAsia="zh-CN"/>
        </w:rPr>
      </w:pPr>
    </w:p>
    <w:p w:rsidR="00DB5DFE" w:rsidRDefault="00F24EDF">
      <w:pPr>
        <w:ind w:left="450"/>
        <w:jc w:val="both"/>
        <w:rPr>
          <w:rFonts w:ascii="Times New Roman" w:hAnsi="Times New Roman" w:cs="Times New Roman"/>
        </w:rPr>
      </w:pPr>
      <w:r>
        <w:rPr>
          <w:rFonts w:ascii="Times New Roman" w:hAnsi="Times New Roman" w:cs="Times New Roman"/>
        </w:rPr>
        <w:t xml:space="preserve">On the same day, SFC ENF replied to the Company that </w:t>
      </w:r>
      <w:r>
        <w:rPr>
          <w:rFonts w:ascii="Times New Roman" w:hAnsi="Times New Roman" w:cs="Times New Roman"/>
          <w:lang w:val="en-GB" w:eastAsia="zh-CN"/>
        </w:rPr>
        <w:t xml:space="preserve">the Company’s assertion of the </w:t>
      </w:r>
      <w:proofErr w:type="spellStart"/>
      <w:r>
        <w:rPr>
          <w:rFonts w:ascii="Times New Roman" w:hAnsi="Times New Roman" w:cs="Times New Roman"/>
          <w:lang w:val="en-GB" w:eastAsia="zh-CN"/>
        </w:rPr>
        <w:t>Mawei</w:t>
      </w:r>
      <w:proofErr w:type="spellEnd"/>
      <w:r>
        <w:rPr>
          <w:rFonts w:ascii="Times New Roman" w:hAnsi="Times New Roman" w:cs="Times New Roman"/>
          <w:lang w:val="en-GB" w:eastAsia="zh-CN"/>
        </w:rPr>
        <w:t xml:space="preserve"> Bureau being able to not only exclude but to adjust the Company’s financial information upwards raised additional difficulties and questions, and that</w:t>
      </w:r>
      <w:r>
        <w:rPr>
          <w:rFonts w:ascii="Times New Roman" w:hAnsi="Times New Roman" w:cs="Times New Roman"/>
          <w:lang w:val="en-GB"/>
        </w:rPr>
        <w:t xml:space="preserve"> </w:t>
      </w:r>
      <w:r>
        <w:rPr>
          <w:rFonts w:ascii="Times New Roman" w:hAnsi="Times New Roman" w:cs="Times New Roman"/>
        </w:rPr>
        <w:t>the Company’s response failed to address SFC’s concerns.  Therefore, on 22 August 2012, the SFC directed the Suspension.</w:t>
      </w:r>
    </w:p>
    <w:p w:rsidR="00DB5DFE" w:rsidRDefault="00F24EDF">
      <w:pPr>
        <w:pStyle w:val="3"/>
        <w:rPr>
          <w:lang w:eastAsia="zh-CN"/>
        </w:rPr>
      </w:pPr>
      <w:r>
        <w:t xml:space="preserve">Events and work done by the Company subsequent to the </w:t>
      </w:r>
      <w:r>
        <w:rPr>
          <w:lang w:val="en-GB"/>
        </w:rPr>
        <w:t>Suspension</w:t>
      </w:r>
      <w:r>
        <w:t xml:space="preserve"> </w:t>
      </w:r>
    </w:p>
    <w:p w:rsidR="00DB5DFE" w:rsidRDefault="00F24EDF">
      <w:pPr>
        <w:ind w:left="450"/>
        <w:jc w:val="both"/>
        <w:rPr>
          <w:rFonts w:ascii="Times New Roman" w:eastAsia="宋体" w:hAnsi="Times New Roman" w:cs="Times New Roman"/>
          <w:color w:val="000000"/>
          <w:lang w:eastAsia="zh-CN"/>
        </w:rPr>
      </w:pPr>
      <w:r>
        <w:rPr>
          <w:rFonts w:ascii="Times New Roman" w:hAnsi="Times New Roman" w:cs="Times New Roman" w:hint="eastAsia"/>
          <w:color w:val="000000"/>
          <w:lang w:eastAsia="zh-CN"/>
        </w:rPr>
        <w:t>On 11 September</w:t>
      </w:r>
      <w:r>
        <w:rPr>
          <w:rFonts w:ascii="Times New Roman" w:hAnsi="Times New Roman" w:cs="Times New Roman"/>
          <w:color w:val="000000"/>
        </w:rPr>
        <w:t xml:space="preserve"> 2012, </w:t>
      </w:r>
      <w:r>
        <w:rPr>
          <w:rFonts w:ascii="Times New Roman" w:hAnsi="Times New Roman" w:cs="Times New Roman" w:hint="eastAsia"/>
          <w:color w:val="000000"/>
          <w:lang w:eastAsia="zh-CN"/>
        </w:rPr>
        <w:t>Fuzhou AIC issued a written confirmation to confirm</w:t>
      </w:r>
      <w:r>
        <w:rPr>
          <w:rFonts w:ascii="Times New Roman" w:hAnsi="Times New Roman" w:cs="Times New Roman"/>
          <w:color w:val="000000"/>
        </w:rPr>
        <w:t xml:space="preserve"> that </w:t>
      </w:r>
      <w:r>
        <w:rPr>
          <w:rFonts w:ascii="Times New Roman" w:hAnsi="Times New Roman" w:cs="Times New Roman"/>
          <w:color w:val="000000"/>
        </w:rPr>
        <w:lastRenderedPageBreak/>
        <w:t xml:space="preserve">between 1 January 2011 and 10 September 2012, </w:t>
      </w:r>
      <w:r>
        <w:rPr>
          <w:rFonts w:ascii="Times New Roman" w:hAnsi="Times New Roman" w:cs="Times New Roman" w:hint="eastAsia"/>
          <w:color w:val="000000"/>
          <w:lang w:eastAsia="zh-CN"/>
        </w:rPr>
        <w:t>all</w:t>
      </w:r>
      <w:r>
        <w:rPr>
          <w:rFonts w:ascii="Times New Roman" w:hAnsi="Times New Roman" w:cs="Times New Roman"/>
          <w:color w:val="000000"/>
        </w:rPr>
        <w:t xml:space="preserve"> documents filed by </w:t>
      </w:r>
      <w:r>
        <w:rPr>
          <w:rFonts w:ascii="Times New Roman" w:eastAsia="宋体" w:hAnsi="Times New Roman" w:cs="Times New Roman" w:hint="eastAsia"/>
          <w:color w:val="000000"/>
          <w:lang w:eastAsia="zh-CN"/>
        </w:rPr>
        <w:t>FWP</w:t>
      </w:r>
      <w:r>
        <w:rPr>
          <w:rFonts w:ascii="Times New Roman" w:hAnsi="Times New Roman" w:cs="Times New Roman"/>
          <w:color w:val="000000"/>
        </w:rPr>
        <w:t xml:space="preserve"> with Fuzhou AIC had not been browsed by anyone apart from </w:t>
      </w:r>
      <w:r>
        <w:rPr>
          <w:rFonts w:ascii="Times New Roman" w:eastAsia="宋体" w:hAnsi="Times New Roman" w:cs="Times New Roman" w:hint="eastAsia"/>
          <w:color w:val="000000"/>
          <w:lang w:eastAsia="zh-CN"/>
        </w:rPr>
        <w:t>FWP.</w:t>
      </w:r>
    </w:p>
    <w:p w:rsidR="00DB5DFE" w:rsidRDefault="00DB5DFE">
      <w:pPr>
        <w:ind w:left="450"/>
        <w:jc w:val="both"/>
      </w:pPr>
    </w:p>
    <w:p w:rsidR="00DB5DFE" w:rsidRDefault="00F24EDF">
      <w:pPr>
        <w:ind w:left="450"/>
        <w:jc w:val="both"/>
        <w:rPr>
          <w:rFonts w:ascii="Times New Roman" w:hAnsi="Times New Roman" w:cs="Times New Roman"/>
        </w:rPr>
      </w:pPr>
      <w:r>
        <w:rPr>
          <w:rFonts w:ascii="Times New Roman" w:hAnsi="Times New Roman" w:cs="Times New Roman"/>
        </w:rPr>
        <w:t>On 24 March 2016,</w:t>
      </w:r>
      <w:r>
        <w:rPr>
          <w:rFonts w:ascii="Times New Roman" w:hAnsi="Times New Roman" w:cs="Times New Roman" w:hint="eastAsia"/>
          <w:lang w:eastAsia="zh-CN"/>
        </w:rPr>
        <w:t xml:space="preserve"> as per SFC ENF</w:t>
      </w:r>
      <w:r>
        <w:rPr>
          <w:rFonts w:ascii="Times New Roman" w:hAnsi="Times New Roman" w:cs="Times New Roman"/>
          <w:lang w:eastAsia="zh-CN"/>
        </w:rPr>
        <w:t>’</w:t>
      </w:r>
      <w:r>
        <w:rPr>
          <w:rFonts w:ascii="Times New Roman" w:hAnsi="Times New Roman" w:cs="Times New Roman" w:hint="eastAsia"/>
          <w:lang w:eastAsia="zh-CN"/>
        </w:rPr>
        <w:t>s request,</w:t>
      </w:r>
      <w:r>
        <w:rPr>
          <w:rFonts w:ascii="Times New Roman" w:hAnsi="Times New Roman" w:cs="Times New Roman"/>
        </w:rPr>
        <w:t xml:space="preserve"> the Company engaged Pan-China to conduct a further special audit on the Group’s financial statements for the 2011 Annual Results in accordance with the applicable standards issued by the HKICPA (the “</w:t>
      </w:r>
      <w:r>
        <w:rPr>
          <w:rFonts w:ascii="Times New Roman" w:hAnsi="Times New Roman" w:cs="Times New Roman"/>
          <w:b/>
          <w:bCs/>
        </w:rPr>
        <w:t>2</w:t>
      </w:r>
      <w:r>
        <w:rPr>
          <w:rFonts w:ascii="Times New Roman" w:hAnsi="Times New Roman" w:cs="Times New Roman"/>
          <w:b/>
          <w:bCs/>
          <w:vertAlign w:val="superscript"/>
        </w:rPr>
        <w:t>nd</w:t>
      </w:r>
      <w:r>
        <w:rPr>
          <w:rFonts w:ascii="Times New Roman" w:hAnsi="Times New Roman" w:cs="Times New Roman"/>
          <w:b/>
          <w:bCs/>
        </w:rPr>
        <w:t xml:space="preserve"> Special Audit</w:t>
      </w:r>
      <w:r>
        <w:rPr>
          <w:rFonts w:ascii="Times New Roman" w:hAnsi="Times New Roman" w:cs="Times New Roman"/>
        </w:rPr>
        <w:t>”).  The scope of the 2</w:t>
      </w:r>
      <w:r>
        <w:rPr>
          <w:rFonts w:ascii="Times New Roman" w:hAnsi="Times New Roman" w:cs="Times New Roman"/>
          <w:vertAlign w:val="superscript"/>
        </w:rPr>
        <w:t>nd</w:t>
      </w:r>
      <w:r>
        <w:rPr>
          <w:rFonts w:ascii="Times New Roman" w:hAnsi="Times New Roman" w:cs="Times New Roman"/>
        </w:rPr>
        <w:t xml:space="preserve"> Special Audit covered the alleged discrepancies identified by KPMG and the SFC ENF.</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lang w:eastAsia="zh-CN"/>
        </w:rPr>
      </w:pPr>
      <w:r>
        <w:rPr>
          <w:rFonts w:ascii="Times New Roman" w:hAnsi="Times New Roman" w:cs="Times New Roman" w:hint="eastAsia"/>
        </w:rPr>
        <w:t>I</w:t>
      </w:r>
      <w:r>
        <w:rPr>
          <w:rFonts w:ascii="Times New Roman" w:hAnsi="Times New Roman" w:cs="Times New Roman"/>
        </w:rPr>
        <w:t>n or about</w:t>
      </w:r>
      <w:r>
        <w:rPr>
          <w:rFonts w:ascii="Times New Roman" w:hAnsi="Times New Roman" w:cs="Times New Roman" w:hint="eastAsia"/>
          <w:lang w:eastAsia="zh-CN"/>
        </w:rPr>
        <w:t xml:space="preserve"> late June</w:t>
      </w:r>
      <w:r>
        <w:rPr>
          <w:rFonts w:ascii="Times New Roman" w:hAnsi="Times New Roman" w:cs="Times New Roman"/>
        </w:rPr>
        <w:t xml:space="preserve"> 2016, the Company received a letter from Pan-China, in which it was stated that Pan-China attended Fuzhou AIC to</w:t>
      </w:r>
      <w:r>
        <w:rPr>
          <w:rFonts w:ascii="Times New Roman" w:hAnsi="Times New Roman" w:cs="Times New Roman" w:hint="eastAsia"/>
          <w:lang w:eastAsia="zh-CN"/>
        </w:rPr>
        <w:t xml:space="preserve"> </w:t>
      </w:r>
      <w:r>
        <w:rPr>
          <w:rFonts w:ascii="Times New Roman" w:hAnsi="Times New Roman" w:cs="Times New Roman"/>
          <w:lang w:eastAsia="zh-CN"/>
        </w:rPr>
        <w:t>retrieve</w:t>
      </w:r>
      <w:r>
        <w:rPr>
          <w:rFonts w:ascii="Times New Roman" w:hAnsi="Times New Roman" w:cs="Times New Roman"/>
        </w:rPr>
        <w:t xml:space="preserve"> all</w:t>
      </w:r>
      <w:r>
        <w:rPr>
          <w:rFonts w:ascii="Times New Roman" w:hAnsi="Times New Roman" w:cs="Times New Roman" w:hint="eastAsia"/>
          <w:lang w:eastAsia="zh-CN"/>
        </w:rPr>
        <w:t xml:space="preserve"> FWP</w:t>
      </w:r>
      <w:r>
        <w:rPr>
          <w:rFonts w:ascii="Times New Roman" w:hAnsi="Times New Roman" w:cs="Times New Roman"/>
          <w:lang w:eastAsia="zh-CN"/>
        </w:rPr>
        <w:t>’</w:t>
      </w:r>
      <w:r>
        <w:rPr>
          <w:rFonts w:ascii="Times New Roman" w:hAnsi="Times New Roman" w:cs="Times New Roman" w:hint="eastAsia"/>
          <w:lang w:eastAsia="zh-CN"/>
        </w:rPr>
        <w:t xml:space="preserve">s financial records </w:t>
      </w:r>
      <w:r>
        <w:rPr>
          <w:rFonts w:ascii="Times New Roman" w:hAnsi="Times New Roman" w:cs="Times New Roman"/>
        </w:rPr>
        <w:t>(the “</w:t>
      </w:r>
      <w:r>
        <w:rPr>
          <w:rFonts w:ascii="Times New Roman" w:eastAsia="宋体" w:hAnsi="Times New Roman" w:cs="Times New Roman" w:hint="eastAsia"/>
          <w:b/>
          <w:lang w:eastAsia="zh-CN"/>
        </w:rPr>
        <w:t xml:space="preserve">Official </w:t>
      </w:r>
      <w:r>
        <w:rPr>
          <w:rFonts w:ascii="Times New Roman" w:hAnsi="Times New Roman" w:cs="Times New Roman"/>
          <w:b/>
        </w:rPr>
        <w:t>AIC Re</w:t>
      </w:r>
      <w:r>
        <w:rPr>
          <w:rFonts w:ascii="Times New Roman" w:hAnsi="Times New Roman" w:cs="Times New Roman" w:hint="eastAsia"/>
          <w:b/>
          <w:lang w:eastAsia="zh-CN"/>
        </w:rPr>
        <w:t>cords</w:t>
      </w:r>
      <w:r>
        <w:rPr>
          <w:rFonts w:ascii="Times New Roman" w:hAnsi="Times New Roman" w:cs="Times New Roman"/>
        </w:rPr>
        <w:t>”)</w:t>
      </w:r>
      <w:r>
        <w:rPr>
          <w:rFonts w:ascii="Times New Roman" w:hAnsi="Times New Roman" w:cs="Times New Roman" w:hint="eastAsia"/>
          <w:lang w:eastAsia="zh-CN"/>
        </w:rPr>
        <w:t xml:space="preserve"> </w:t>
      </w:r>
      <w:r>
        <w:rPr>
          <w:rFonts w:ascii="Times New Roman" w:hAnsi="Times New Roman" w:cs="Times New Roman"/>
        </w:rPr>
        <w:t>from 2003</w:t>
      </w:r>
      <w:r>
        <w:rPr>
          <w:rFonts w:ascii="Times New Roman" w:hAnsi="Times New Roman" w:cs="Times New Roman" w:hint="eastAsia"/>
          <w:lang w:eastAsia="zh-CN"/>
        </w:rPr>
        <w:t xml:space="preserve">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the </w:t>
      </w:r>
      <w:r>
        <w:rPr>
          <w:rFonts w:ascii="Times New Roman" w:hAnsi="Times New Roman" w:cs="Times New Roman" w:hint="eastAsia"/>
          <w:lang w:eastAsia="zh-CN"/>
        </w:rPr>
        <w:t xml:space="preserve">year of </w:t>
      </w:r>
      <w:r>
        <w:rPr>
          <w:rFonts w:ascii="Times New Roman" w:hAnsi="Times New Roman" w:cs="Times New Roman"/>
          <w:lang w:eastAsia="zh-CN"/>
        </w:rPr>
        <w:t>incorporation</w:t>
      </w:r>
      <w:r>
        <w:rPr>
          <w:rFonts w:ascii="Times New Roman" w:hAnsi="Times New Roman" w:cs="Times New Roman" w:hint="eastAsia"/>
          <w:lang w:eastAsia="zh-CN"/>
        </w:rPr>
        <w:t xml:space="preserve"> of FWP)</w:t>
      </w:r>
      <w:r>
        <w:rPr>
          <w:rFonts w:ascii="Times New Roman" w:hAnsi="Times New Roman" w:cs="Times New Roman"/>
        </w:rPr>
        <w:t xml:space="preserve"> to 2012 and found that apart from the inconsistency in </w:t>
      </w:r>
      <w:r>
        <w:rPr>
          <w:rFonts w:ascii="Times New Roman" w:eastAsia="宋体" w:hAnsi="Times New Roman" w:cs="Times New Roman" w:hint="eastAsia"/>
          <w:lang w:eastAsia="zh-CN"/>
        </w:rPr>
        <w:t>FWP</w:t>
      </w:r>
      <w:r>
        <w:rPr>
          <w:rFonts w:ascii="Times New Roman" w:hAnsi="Times New Roman" w:cs="Times New Roman"/>
        </w:rPr>
        <w:t>’s turnover between FWP’s accounts and the</w:t>
      </w:r>
      <w:r>
        <w:rPr>
          <w:rFonts w:ascii="Times New Roman" w:eastAsia="宋体" w:hAnsi="Times New Roman" w:cs="Times New Roman" w:hint="eastAsia"/>
          <w:lang w:eastAsia="zh-CN"/>
        </w:rPr>
        <w:t xml:space="preserve"> Official</w:t>
      </w:r>
      <w:r>
        <w:rPr>
          <w:rFonts w:ascii="Times New Roman" w:hAnsi="Times New Roman" w:cs="Times New Roman"/>
        </w:rPr>
        <w:t xml:space="preserve"> </w:t>
      </w:r>
      <w:r>
        <w:rPr>
          <w:rFonts w:ascii="Times New Roman" w:hAnsi="Times New Roman" w:cs="Times New Roman" w:hint="eastAsia"/>
          <w:lang w:eastAsia="zh-CN"/>
        </w:rPr>
        <w:t>AIC</w:t>
      </w:r>
      <w:r>
        <w:rPr>
          <w:rFonts w:ascii="Times New Roman" w:hAnsi="Times New Roman" w:cs="Times New Roman"/>
        </w:rPr>
        <w:t xml:space="preserve"> </w:t>
      </w:r>
      <w:r>
        <w:rPr>
          <w:rFonts w:ascii="Times New Roman" w:hAnsi="Times New Roman" w:cs="Times New Roman" w:hint="eastAsia"/>
          <w:lang w:eastAsia="zh-CN"/>
        </w:rPr>
        <w:t>Records</w:t>
      </w:r>
      <w:r>
        <w:rPr>
          <w:rFonts w:ascii="Times New Roman" w:hAnsi="Times New Roman" w:cs="Times New Roman"/>
        </w:rPr>
        <w:t xml:space="preserve"> for 2010 and 2011, there were no other inconsistencies.  </w:t>
      </w:r>
      <w:r>
        <w:rPr>
          <w:rFonts w:ascii="Times New Roman" w:hAnsi="Times New Roman" w:cs="Times New Roman" w:hint="eastAsia"/>
          <w:lang w:eastAsia="zh-CN"/>
        </w:rPr>
        <w:t>Moreover, t</w:t>
      </w:r>
      <w:r>
        <w:rPr>
          <w:rFonts w:ascii="Times New Roman" w:hAnsi="Times New Roman" w:cs="Times New Roman"/>
        </w:rPr>
        <w:t>he information contained</w:t>
      </w:r>
      <w:r>
        <w:rPr>
          <w:rFonts w:ascii="Times New Roman" w:hAnsi="Times New Roman" w:cs="Times New Roman" w:hint="eastAsia"/>
          <w:lang w:eastAsia="zh-CN"/>
        </w:rPr>
        <w:t xml:space="preserve"> in the Official AIC Records were consistent with that</w:t>
      </w:r>
      <w:r>
        <w:rPr>
          <w:rFonts w:ascii="Times New Roman" w:hAnsi="Times New Roman" w:cs="Times New Roman"/>
        </w:rPr>
        <w:t xml:space="preserve"> in the AIC report obtained by </w:t>
      </w:r>
      <w:proofErr w:type="spellStart"/>
      <w:r>
        <w:rPr>
          <w:rFonts w:ascii="Times New Roman" w:hAnsi="Times New Roman" w:cs="Times New Roman"/>
        </w:rPr>
        <w:t>Zhonglei</w:t>
      </w:r>
      <w:proofErr w:type="spellEnd"/>
      <w:r>
        <w:rPr>
          <w:rFonts w:ascii="Times New Roman" w:hAnsi="Times New Roman" w:cs="Times New Roman"/>
        </w:rPr>
        <w:t xml:space="preserve"> during the 1st Special Audit</w:t>
      </w:r>
      <w:r>
        <w:rPr>
          <w:rFonts w:ascii="Times New Roman" w:hAnsi="Times New Roman" w:cs="Times New Roman" w:hint="eastAsia"/>
          <w:lang w:eastAsia="zh-CN"/>
        </w:rPr>
        <w:t>.</w:t>
      </w:r>
    </w:p>
    <w:p w:rsidR="00DB5DFE" w:rsidRDefault="00DB5DFE">
      <w:pPr>
        <w:ind w:left="450"/>
        <w:jc w:val="both"/>
        <w:rPr>
          <w:rFonts w:ascii="Times New Roman" w:hAnsi="Times New Roman" w:cs="Times New Roman"/>
        </w:rPr>
      </w:pPr>
    </w:p>
    <w:p w:rsidR="00DB5DFE" w:rsidRDefault="00F24EDF">
      <w:pPr>
        <w:ind w:left="450"/>
        <w:jc w:val="both"/>
        <w:rPr>
          <w:rFonts w:ascii="Times New Roman" w:hAnsi="Times New Roman" w:cs="Times New Roman"/>
        </w:rPr>
      </w:pPr>
      <w:r>
        <w:rPr>
          <w:rFonts w:ascii="Times New Roman" w:hAnsi="Times New Roman" w:cs="Times New Roman"/>
        </w:rPr>
        <w:t>In or about late July 2016, Pan-China further informed the Board of the Company that they had performed all the necessary audit procedures which Pan-China considered appropriate and they are of the view that their audit opinion given during the 1</w:t>
      </w:r>
      <w:r>
        <w:rPr>
          <w:rFonts w:ascii="Times New Roman" w:hAnsi="Times New Roman" w:cs="Times New Roman"/>
          <w:vertAlign w:val="superscript"/>
        </w:rPr>
        <w:t>st</w:t>
      </w:r>
      <w:r>
        <w:rPr>
          <w:rFonts w:ascii="Times New Roman" w:hAnsi="Times New Roman" w:cs="Times New Roman"/>
        </w:rPr>
        <w:t xml:space="preserve"> Special Audit remains unchanged.</w:t>
      </w:r>
    </w:p>
    <w:p w:rsidR="00DB5DFE" w:rsidRDefault="00DB5DFE">
      <w:pPr>
        <w:ind w:left="450"/>
        <w:jc w:val="both"/>
        <w:rPr>
          <w:rFonts w:ascii="Times New Roman" w:hAnsi="Times New Roman" w:cs="Times New Roman"/>
        </w:rPr>
      </w:pPr>
    </w:p>
    <w:p w:rsidR="00DB5DFE" w:rsidRDefault="00F24EDF">
      <w:pPr>
        <w:pStyle w:val="3"/>
      </w:pPr>
      <w:r>
        <w:t xml:space="preserve">Application for Resumption of Trading </w:t>
      </w:r>
    </w:p>
    <w:p w:rsidR="00DB5DFE" w:rsidRDefault="00F24EDF">
      <w:pPr>
        <w:ind w:left="450"/>
        <w:jc w:val="both"/>
        <w:rPr>
          <w:rFonts w:ascii="Times New Roman" w:hAnsi="Times New Roman" w:cs="Times New Roman"/>
        </w:rPr>
      </w:pPr>
      <w:bookmarkStart w:id="3" w:name="_BPDCMF_100"/>
      <w:r>
        <w:rPr>
          <w:rFonts w:ascii="Times New Roman" w:hAnsi="Times New Roman" w:cs="Times New Roman" w:hint="eastAsia"/>
        </w:rPr>
        <w:t>O</w:t>
      </w:r>
      <w:r>
        <w:rPr>
          <w:rFonts w:ascii="Times New Roman" w:hAnsi="Times New Roman" w:cs="Times New Roman"/>
        </w:rPr>
        <w:t xml:space="preserve">n 7 November 2019, the Company applied for resumption of trading of the Shares </w:t>
      </w:r>
      <w:bookmarkEnd w:id="3"/>
      <w:r>
        <w:rPr>
          <w:rFonts w:ascii="Times New Roman" w:hAnsi="Times New Roman" w:cs="Times New Roman"/>
        </w:rPr>
        <w:t>by submitting its representations to the SFC’s Board pursuant to section 9(1) of the Securities and Futures (Stock Market Listing) Rules (the “</w:t>
      </w:r>
      <w:r>
        <w:rPr>
          <w:rFonts w:ascii="Times New Roman" w:hAnsi="Times New Roman" w:cs="Times New Roman"/>
          <w:b/>
        </w:rPr>
        <w:t>SMLR</w:t>
      </w:r>
      <w:r>
        <w:rPr>
          <w:rFonts w:ascii="Times New Roman" w:hAnsi="Times New Roman" w:cs="Times New Roman"/>
        </w:rPr>
        <w:t>”) (the “</w:t>
      </w:r>
      <w:r>
        <w:rPr>
          <w:rFonts w:ascii="Times New Roman" w:hAnsi="Times New Roman" w:cs="Times New Roman"/>
          <w:b/>
        </w:rPr>
        <w:t>Resumption Application</w:t>
      </w:r>
      <w:r>
        <w:rPr>
          <w:rFonts w:ascii="Times New Roman" w:hAnsi="Times New Roman" w:cs="Times New Roman"/>
        </w:rPr>
        <w:t>”).  After a meeting before the SFC’s Board on 21 August 2020</w:t>
      </w:r>
      <w:r>
        <w:rPr>
          <w:rFonts w:ascii="Times New Roman" w:hAnsi="Times New Roman" w:cs="Times New Roman"/>
          <w:lang w:val="en-GB"/>
        </w:rPr>
        <w:t xml:space="preserve"> and further representations made by the Company</w:t>
      </w:r>
      <w:r>
        <w:rPr>
          <w:rFonts w:ascii="Times New Roman" w:hAnsi="Times New Roman" w:cs="Times New Roman"/>
        </w:rPr>
        <w:t xml:space="preserve">, the </w:t>
      </w:r>
      <w:r>
        <w:rPr>
          <w:rFonts w:ascii="Times New Roman" w:hAnsi="Times New Roman" w:cs="Times New Roman"/>
          <w:lang w:val="en-GB"/>
        </w:rPr>
        <w:t xml:space="preserve">SFC’s </w:t>
      </w:r>
      <w:r>
        <w:rPr>
          <w:rFonts w:ascii="Times New Roman" w:hAnsi="Times New Roman" w:cs="Times New Roman"/>
        </w:rPr>
        <w:t>Board</w:t>
      </w:r>
      <w:r>
        <w:rPr>
          <w:rFonts w:ascii="Times New Roman" w:hAnsi="Times New Roman" w:cs="Times New Roman"/>
          <w:lang w:val="en-GB"/>
        </w:rPr>
        <w:t xml:space="preserve"> indicated that it was minded</w:t>
      </w:r>
      <w:r>
        <w:rPr>
          <w:rFonts w:ascii="Times New Roman" w:hAnsi="Times New Roman" w:cs="Times New Roman"/>
        </w:rPr>
        <w:t xml:space="preserve"> to permit trading in the Shares under section 9(3) of the SMLR subject to the publication of this announcement. </w:t>
      </w:r>
    </w:p>
    <w:p w:rsidR="00DB5DFE" w:rsidRDefault="00DB5DFE">
      <w:pPr>
        <w:ind w:left="450"/>
        <w:jc w:val="both"/>
        <w:rPr>
          <w:rFonts w:ascii="Times New Roman" w:hAnsi="Times New Roman" w:cs="Times New Roman"/>
        </w:rPr>
      </w:pPr>
    </w:p>
    <w:p w:rsidR="00DB5DFE" w:rsidRDefault="00F24EDF">
      <w:pPr>
        <w:pStyle w:val="1"/>
      </w:pPr>
      <w:r>
        <w:t xml:space="preserve">EXPLANATION TO THE ISSUES AND REASONS FOR THE RESUMPTION OF TRADING </w:t>
      </w:r>
    </w:p>
    <w:p w:rsidR="00DB5DFE" w:rsidRDefault="00F24EDF">
      <w:pPr>
        <w:pStyle w:val="4"/>
      </w:pPr>
      <w:r>
        <w:t xml:space="preserve">Authenticity and the source of the Earlier AIC Report could not be substantiated </w:t>
      </w:r>
    </w:p>
    <w:p w:rsidR="00DB5DFE" w:rsidRDefault="00F24EDF">
      <w:pPr>
        <w:pStyle w:val="ListParagraph1"/>
        <w:numPr>
          <w:ilvl w:val="0"/>
          <w:numId w:val="2"/>
        </w:numPr>
        <w:ind w:leftChars="0" w:hanging="630"/>
        <w:jc w:val="both"/>
        <w:rPr>
          <w:rFonts w:ascii="Times New Roman" w:hAnsi="Times New Roman" w:cs="Times New Roman"/>
          <w:b/>
          <w:bCs/>
          <w:color w:val="000000"/>
          <w:u w:val="single"/>
        </w:rPr>
      </w:pPr>
      <w:r>
        <w:rPr>
          <w:rFonts w:ascii="Times New Roman" w:hAnsi="Times New Roman" w:cs="Times New Roman"/>
          <w:color w:val="000000"/>
        </w:rPr>
        <w:t xml:space="preserve">On 11 September 2012, Fuzhou AIC confirmed in writing that between 1 </w:t>
      </w:r>
      <w:r>
        <w:rPr>
          <w:rFonts w:ascii="Times New Roman" w:hAnsi="Times New Roman" w:cs="Times New Roman"/>
          <w:color w:val="000000"/>
        </w:rPr>
        <w:lastRenderedPageBreak/>
        <w:t xml:space="preserve">January 2011 and 10 September 2012, </w:t>
      </w:r>
      <w:r>
        <w:rPr>
          <w:rFonts w:ascii="Times New Roman" w:hAnsi="Times New Roman" w:cs="Times New Roman" w:hint="eastAsia"/>
          <w:color w:val="000000"/>
          <w:lang w:eastAsia="zh-CN"/>
        </w:rPr>
        <w:t>all</w:t>
      </w:r>
      <w:r>
        <w:rPr>
          <w:rFonts w:ascii="Times New Roman" w:hAnsi="Times New Roman" w:cs="Times New Roman"/>
          <w:color w:val="000000"/>
        </w:rPr>
        <w:t xml:space="preserve"> documents filed by </w:t>
      </w:r>
      <w:r>
        <w:rPr>
          <w:rFonts w:ascii="Times New Roman" w:eastAsia="宋体" w:hAnsi="Times New Roman" w:cs="Times New Roman" w:hint="eastAsia"/>
          <w:color w:val="000000"/>
          <w:lang w:eastAsia="zh-CN"/>
        </w:rPr>
        <w:t>FWP</w:t>
      </w:r>
      <w:r>
        <w:rPr>
          <w:rFonts w:ascii="Times New Roman" w:hAnsi="Times New Roman" w:cs="Times New Roman"/>
          <w:color w:val="000000"/>
        </w:rPr>
        <w:t xml:space="preserve"> with Fuzhou AIC had not been browsed by anyone apart from </w:t>
      </w:r>
      <w:r>
        <w:rPr>
          <w:rFonts w:ascii="Times New Roman" w:eastAsia="宋体" w:hAnsi="Times New Roman" w:cs="Times New Roman" w:hint="eastAsia"/>
          <w:color w:val="000000"/>
          <w:lang w:eastAsia="zh-CN"/>
        </w:rPr>
        <w:t>FWP</w:t>
      </w:r>
      <w:r>
        <w:rPr>
          <w:rFonts w:ascii="Times New Roman" w:hAnsi="Times New Roman" w:cs="Times New Roman"/>
          <w:color w:val="000000"/>
        </w:rPr>
        <w:t xml:space="preserve">; </w:t>
      </w:r>
    </w:p>
    <w:p w:rsidR="00DB5DFE" w:rsidRDefault="00DB5DFE">
      <w:pPr>
        <w:pStyle w:val="ListParagraph1"/>
        <w:ind w:leftChars="0" w:left="1080" w:hanging="630"/>
        <w:jc w:val="both"/>
        <w:rPr>
          <w:rFonts w:ascii="Times New Roman" w:hAnsi="Times New Roman"/>
          <w:b/>
          <w:color w:val="000000"/>
          <w:u w:val="single"/>
        </w:rPr>
      </w:pPr>
    </w:p>
    <w:p w:rsidR="00DB5DFE" w:rsidRDefault="00F24EDF">
      <w:pPr>
        <w:pStyle w:val="ListParagraph1"/>
        <w:numPr>
          <w:ilvl w:val="0"/>
          <w:numId w:val="2"/>
        </w:numPr>
        <w:ind w:leftChars="0" w:hanging="630"/>
        <w:jc w:val="both"/>
        <w:rPr>
          <w:rFonts w:ascii="Times New Roman" w:hAnsi="Times New Roman" w:cs="Times New Roman"/>
          <w:b/>
          <w:bCs/>
          <w:u w:val="single"/>
        </w:rPr>
      </w:pPr>
      <w:r>
        <w:rPr>
          <w:rFonts w:ascii="Times New Roman" w:hAnsi="Times New Roman" w:cs="Times New Roman"/>
          <w:color w:val="000000"/>
        </w:rPr>
        <w:t xml:space="preserve">SFC ENF </w:t>
      </w:r>
      <w:r>
        <w:rPr>
          <w:rFonts w:ascii="Times New Roman" w:hAnsi="Times New Roman" w:cs="Times New Roman"/>
          <w:color w:val="000000"/>
          <w:lang w:val="en-GB"/>
        </w:rPr>
        <w:t xml:space="preserve">had </w:t>
      </w:r>
      <w:r>
        <w:rPr>
          <w:rFonts w:ascii="Times New Roman" w:hAnsi="Times New Roman" w:cs="Times New Roman"/>
          <w:color w:val="000000"/>
        </w:rPr>
        <w:t>conducted further enquiries on the provenance and authenticity of the Earlier AIC Report but the result was inconclusive.  The possibility that the Earlier AIC Report might not be genuine therefore could not be ruled out</w:t>
      </w:r>
      <w:r>
        <w:rPr>
          <w:rFonts w:ascii="Times New Roman" w:hAnsi="Times New Roman" w:cs="Times New Roman"/>
        </w:rPr>
        <w:t>; and</w:t>
      </w:r>
    </w:p>
    <w:p w:rsidR="00DB5DFE" w:rsidRDefault="00DB5DFE">
      <w:pPr>
        <w:pStyle w:val="ListParagraph1"/>
        <w:ind w:leftChars="0" w:left="1080"/>
        <w:jc w:val="both"/>
        <w:rPr>
          <w:rFonts w:ascii="Times New Roman" w:hAnsi="Times New Roman" w:cs="Times New Roman"/>
          <w:color w:val="000000"/>
          <w:lang w:eastAsia="zh-CN"/>
        </w:rPr>
      </w:pPr>
    </w:p>
    <w:p w:rsidR="00DB5DFE" w:rsidRDefault="00F24EDF">
      <w:pPr>
        <w:pStyle w:val="ListParagraph1"/>
        <w:numPr>
          <w:ilvl w:val="0"/>
          <w:numId w:val="2"/>
        </w:numPr>
        <w:ind w:leftChars="0" w:hanging="630"/>
        <w:jc w:val="both"/>
        <w:rPr>
          <w:rFonts w:ascii="Times New Roman" w:hAnsi="Times New Roman" w:cs="Times New Roman"/>
          <w:color w:val="000000"/>
        </w:rPr>
      </w:pPr>
      <w:r>
        <w:rPr>
          <w:rFonts w:ascii="Times New Roman" w:hAnsi="Times New Roman" w:cs="Times New Roman"/>
        </w:rPr>
        <w:t xml:space="preserve">On 27 June 2016, Pan-China informed the Company in writing that it attended Fuzhou AIC to </w:t>
      </w:r>
      <w:r>
        <w:rPr>
          <w:rFonts w:ascii="Times New Roman" w:hAnsi="Times New Roman" w:cs="Times New Roman" w:hint="eastAsia"/>
          <w:lang w:eastAsia="zh-CN"/>
        </w:rPr>
        <w:t>retrieve</w:t>
      </w:r>
      <w:r>
        <w:rPr>
          <w:rFonts w:ascii="Times New Roman" w:hAnsi="Times New Roman" w:cs="Times New Roman"/>
        </w:rPr>
        <w:t xml:space="preserve"> all </w:t>
      </w:r>
      <w:r>
        <w:rPr>
          <w:rFonts w:ascii="Times New Roman" w:eastAsia="宋体" w:hAnsi="Times New Roman" w:cs="Times New Roman" w:hint="eastAsia"/>
          <w:lang w:eastAsia="zh-CN"/>
        </w:rPr>
        <w:t>Official AIC Records</w:t>
      </w:r>
      <w:r>
        <w:rPr>
          <w:rFonts w:ascii="Times New Roman" w:hAnsi="Times New Roman" w:cs="Times New Roman"/>
        </w:rPr>
        <w:t xml:space="preserve"> from 2003 to 2012 and found that apart from the inconsistency in the turnover of </w:t>
      </w:r>
      <w:r>
        <w:rPr>
          <w:rFonts w:ascii="Times New Roman" w:eastAsia="宋体" w:hAnsi="Times New Roman" w:cs="Times New Roman" w:hint="eastAsia"/>
          <w:lang w:eastAsia="zh-CN"/>
        </w:rPr>
        <w:t>FWP</w:t>
      </w:r>
      <w:r>
        <w:rPr>
          <w:rFonts w:ascii="Times New Roman" w:hAnsi="Times New Roman" w:cs="Times New Roman"/>
        </w:rPr>
        <w:t xml:space="preserve"> between FWP’s accounts and the</w:t>
      </w:r>
      <w:r>
        <w:rPr>
          <w:rFonts w:ascii="Times New Roman" w:eastAsia="宋体" w:hAnsi="Times New Roman" w:cs="Times New Roman" w:hint="eastAsia"/>
          <w:lang w:eastAsia="zh-CN"/>
        </w:rPr>
        <w:t xml:space="preserve"> Official</w:t>
      </w:r>
      <w:r>
        <w:rPr>
          <w:rFonts w:ascii="Times New Roman" w:hAnsi="Times New Roman" w:cs="Times New Roman"/>
        </w:rPr>
        <w:t xml:space="preserve"> </w:t>
      </w:r>
      <w:r>
        <w:rPr>
          <w:rFonts w:ascii="Times New Roman" w:hAnsi="Times New Roman" w:cs="Times New Roman" w:hint="eastAsia"/>
          <w:lang w:eastAsia="zh-CN"/>
        </w:rPr>
        <w:t>AIC</w:t>
      </w:r>
      <w:r>
        <w:rPr>
          <w:rFonts w:ascii="Times New Roman" w:hAnsi="Times New Roman" w:cs="Times New Roman"/>
        </w:rPr>
        <w:t xml:space="preserve"> </w:t>
      </w:r>
      <w:r>
        <w:rPr>
          <w:rFonts w:ascii="Times New Roman" w:hAnsi="Times New Roman" w:cs="Times New Roman" w:hint="eastAsia"/>
          <w:lang w:eastAsia="zh-CN"/>
        </w:rPr>
        <w:t>Records</w:t>
      </w:r>
      <w:r>
        <w:rPr>
          <w:rFonts w:ascii="Times New Roman" w:hAnsi="Times New Roman" w:cs="Times New Roman"/>
        </w:rPr>
        <w:t xml:space="preserve"> for the years 2010 and 2011, there were no other inconsistencies</w:t>
      </w:r>
      <w:r>
        <w:rPr>
          <w:rFonts w:ascii="Times New Roman" w:hAnsi="Times New Roman" w:cs="Times New Roman"/>
          <w:color w:val="000000"/>
        </w:rPr>
        <w:t>.</w:t>
      </w:r>
    </w:p>
    <w:p w:rsidR="00DB5DFE" w:rsidRDefault="00F24EDF">
      <w:pPr>
        <w:pStyle w:val="4"/>
      </w:pPr>
      <w:r>
        <w:t xml:space="preserve">Difference in financial information explained </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lang w:val="en-GB"/>
        </w:rPr>
        <w:t xml:space="preserve">After the Suspension, the Company sought further clarification from </w:t>
      </w:r>
      <w:proofErr w:type="spellStart"/>
      <w:r>
        <w:rPr>
          <w:rFonts w:ascii="Times New Roman" w:hAnsi="Times New Roman" w:cs="Times New Roman"/>
          <w:color w:val="000000"/>
          <w:lang w:val="en-GB"/>
        </w:rPr>
        <w:t>Mawei</w:t>
      </w:r>
      <w:proofErr w:type="spellEnd"/>
      <w:r>
        <w:rPr>
          <w:rFonts w:ascii="Times New Roman" w:hAnsi="Times New Roman" w:cs="Times New Roman"/>
          <w:color w:val="000000"/>
          <w:lang w:val="en-GB"/>
        </w:rPr>
        <w:t xml:space="preserve"> Bureau through the Administration for the Protection of State Secrets of Fujian Province (</w:t>
      </w:r>
      <w:r>
        <w:rPr>
          <w:rFonts w:ascii="Times New Roman" w:hAnsi="Times New Roman" w:cs="Times New Roman" w:hint="eastAsia"/>
          <w:color w:val="000000"/>
          <w:lang w:val="en-GB"/>
        </w:rPr>
        <w:t>福建省國家保密局</w:t>
      </w:r>
      <w:r>
        <w:rPr>
          <w:rFonts w:ascii="Times New Roman" w:eastAsia="PMingLiU" w:hAnsi="Times New Roman" w:cs="Times New Roman" w:hint="eastAsia"/>
          <w:color w:val="000000"/>
          <w:lang w:val="en-GB"/>
        </w:rPr>
        <w:t>)</w:t>
      </w:r>
      <w:r>
        <w:rPr>
          <w:rFonts w:ascii="Times New Roman" w:eastAsia="PMingLiU" w:hAnsi="Times New Roman" w:cs="Times New Roman"/>
          <w:color w:val="000000"/>
          <w:lang w:val="en-GB"/>
        </w:rPr>
        <w:t xml:space="preserve"> </w:t>
      </w:r>
      <w:r>
        <w:rPr>
          <w:rFonts w:ascii="Times New Roman" w:hAnsi="Times New Roman" w:cs="Times New Roman"/>
          <w:color w:val="000000"/>
          <w:lang w:val="en-GB"/>
        </w:rPr>
        <w:t xml:space="preserve">and found that adjustments of financial information of FWP by </w:t>
      </w:r>
      <w:proofErr w:type="spellStart"/>
      <w:r>
        <w:rPr>
          <w:rFonts w:ascii="Times New Roman" w:hAnsi="Times New Roman" w:cs="Times New Roman"/>
          <w:color w:val="000000"/>
          <w:lang w:val="en-GB"/>
        </w:rPr>
        <w:t>Mawei</w:t>
      </w:r>
      <w:proofErr w:type="spellEnd"/>
      <w:r>
        <w:rPr>
          <w:rFonts w:ascii="Times New Roman" w:hAnsi="Times New Roman" w:cs="Times New Roman"/>
          <w:color w:val="000000"/>
          <w:lang w:val="en-GB"/>
        </w:rPr>
        <w:t xml:space="preserve"> Bureau was </w:t>
      </w:r>
      <w:r>
        <w:rPr>
          <w:rFonts w:ascii="Times New Roman" w:eastAsia="宋体" w:hAnsi="Times New Roman" w:cs="Times New Roman" w:hint="eastAsia"/>
          <w:color w:val="000000"/>
        </w:rPr>
        <w:t>calculated</w:t>
      </w:r>
      <w:r>
        <w:rPr>
          <w:rFonts w:ascii="Times New Roman" w:hAnsi="Times New Roman" w:cs="Times New Roman"/>
          <w:color w:val="000000"/>
        </w:rPr>
        <w:t xml:space="preserve"> by the </w:t>
      </w:r>
      <w:proofErr w:type="spellStart"/>
      <w:r>
        <w:rPr>
          <w:rFonts w:ascii="Times New Roman" w:hAnsi="Times New Roman" w:cs="Times New Roman"/>
          <w:color w:val="000000"/>
        </w:rPr>
        <w:t>Mawei</w:t>
      </w:r>
      <w:proofErr w:type="spellEnd"/>
      <w:r>
        <w:rPr>
          <w:rFonts w:ascii="Times New Roman" w:hAnsi="Times New Roman" w:cs="Times New Roman"/>
          <w:color w:val="000000"/>
        </w:rPr>
        <w:t xml:space="preserve"> Bureau in accordance with a</w:t>
      </w:r>
      <w:r>
        <w:rPr>
          <w:rFonts w:ascii="Times New Roman" w:eastAsia="宋体" w:hAnsi="Times New Roman" w:cs="Times New Roman" w:hint="eastAsia"/>
          <w:color w:val="000000"/>
        </w:rPr>
        <w:t xml:space="preserve"> statistic</w:t>
      </w:r>
      <w:r>
        <w:rPr>
          <w:rFonts w:ascii="Times New Roman" w:hAnsi="Times New Roman" w:cs="Times New Roman"/>
          <w:color w:val="000000"/>
        </w:rPr>
        <w:t xml:space="preserve"> formula called “</w:t>
      </w:r>
      <w:r>
        <w:rPr>
          <w:rFonts w:ascii="Times New Roman" w:hAnsi="Times New Roman" w:cs="Times New Roman" w:hint="eastAsia"/>
          <w:color w:val="000000"/>
        </w:rPr>
        <w:t>產值五年不變價</w:t>
      </w:r>
      <w:r>
        <w:rPr>
          <w:rFonts w:ascii="Times New Roman" w:hAnsi="Times New Roman" w:cs="Times New Roman"/>
          <w:color w:val="000000"/>
        </w:rPr>
        <w:t>” (five year unchanged price) (“</w:t>
      </w:r>
      <w:r>
        <w:rPr>
          <w:rFonts w:ascii="Times New Roman" w:eastAsia="宋体" w:hAnsi="Times New Roman" w:cs="Times New Roman" w:hint="eastAsia"/>
          <w:b/>
          <w:bCs/>
          <w:color w:val="000000"/>
        </w:rPr>
        <w:t>Statistic</w:t>
      </w:r>
      <w:r>
        <w:rPr>
          <w:rFonts w:ascii="Times New Roman" w:hAnsi="Times New Roman" w:cs="Times New Roman"/>
          <w:b/>
          <w:bCs/>
          <w:color w:val="000000"/>
        </w:rPr>
        <w:t xml:space="preserve"> Formula</w:t>
      </w:r>
      <w:r>
        <w:rPr>
          <w:rFonts w:ascii="Times New Roman" w:hAnsi="Times New Roman" w:cs="Times New Roman"/>
          <w:color w:val="000000"/>
        </w:rPr>
        <w:t>”),</w:t>
      </w:r>
      <w:r>
        <w:rPr>
          <w:rFonts w:ascii="Times New Roman" w:hAnsi="Times New Roman" w:cs="Times New Roman"/>
          <w:bCs/>
          <w:color w:val="000000"/>
        </w:rPr>
        <w:t xml:space="preserve"> </w:t>
      </w:r>
      <w:r>
        <w:rPr>
          <w:rFonts w:ascii="Times New Roman" w:hAnsi="Times New Roman" w:cs="Times New Roman"/>
          <w:color w:val="000000"/>
        </w:rPr>
        <w:t>regardless of whether FWP’s business involves state secrets or not.</w:t>
      </w:r>
    </w:p>
    <w:p w:rsidR="00DB5DFE" w:rsidRDefault="00DB5DFE">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 xml:space="preserve">The </w:t>
      </w:r>
      <w:r>
        <w:rPr>
          <w:rFonts w:ascii="Times New Roman" w:eastAsia="宋体" w:hAnsi="Times New Roman" w:cs="Times New Roman" w:hint="eastAsia"/>
          <w:color w:val="000000"/>
          <w:lang w:eastAsia="zh-CN"/>
        </w:rPr>
        <w:t>Statistic</w:t>
      </w:r>
      <w:r>
        <w:rPr>
          <w:rFonts w:ascii="Times New Roman" w:hAnsi="Times New Roman" w:cs="Times New Roman"/>
          <w:color w:val="000000"/>
        </w:rPr>
        <w:t xml:space="preserve"> Formula</w:t>
      </w:r>
      <w:r>
        <w:rPr>
          <w:rFonts w:ascii="Times New Roman" w:hAnsi="Times New Roman" w:cs="Times New Roman"/>
          <w:color w:val="000000"/>
          <w:lang w:val="en-GB"/>
        </w:rPr>
        <w:t xml:space="preserve"> was used for calculating the productivity of a particular year after eliminating the impact of price changes and was used for statistical purpose only</w:t>
      </w:r>
      <w:r>
        <w:rPr>
          <w:rFonts w:ascii="Times New Roman" w:hAnsi="Times New Roman" w:cs="Times New Roman"/>
          <w:color w:val="000000"/>
        </w:rPr>
        <w:t xml:space="preserve">.  It was </w:t>
      </w:r>
      <w:r>
        <w:rPr>
          <w:rFonts w:ascii="Times New Roman" w:hAnsi="Times New Roman" w:cs="Times New Roman"/>
          <w:color w:val="000000"/>
          <w:lang w:val="en-GB"/>
        </w:rPr>
        <w:t xml:space="preserve">essentially </w:t>
      </w:r>
      <w:r>
        <w:rPr>
          <w:rFonts w:ascii="Times New Roman" w:hAnsi="Times New Roman" w:cs="Times New Roman"/>
          <w:color w:val="000000"/>
        </w:rPr>
        <w:t>an average price based on price indices of a particular product/services and fixed for a period of 5 years</w:t>
      </w:r>
      <w:r>
        <w:rPr>
          <w:rFonts w:ascii="Times New Roman" w:hAnsi="Times New Roman" w:cs="Times New Roman"/>
          <w:color w:val="000000"/>
          <w:lang w:val="en-GB"/>
        </w:rPr>
        <w:t xml:space="preserve"> (hence ‘</w:t>
      </w:r>
      <w:proofErr w:type="gramStart"/>
      <w:r>
        <w:rPr>
          <w:rFonts w:ascii="Times New Roman" w:hAnsi="Times New Roman" w:cs="Times New Roman"/>
          <w:color w:val="000000"/>
          <w:lang w:val="en-GB"/>
        </w:rPr>
        <w:t>five year</w:t>
      </w:r>
      <w:proofErr w:type="gramEnd"/>
      <w:r>
        <w:rPr>
          <w:rFonts w:ascii="Times New Roman" w:hAnsi="Times New Roman" w:cs="Times New Roman"/>
          <w:color w:val="000000"/>
          <w:lang w:val="en-GB"/>
        </w:rPr>
        <w:t xml:space="preserve"> unchanged price’), with</w:t>
      </w:r>
      <w:r>
        <w:rPr>
          <w:rFonts w:ascii="Times New Roman" w:hAnsi="Times New Roman" w:cs="Times New Roman"/>
          <w:color w:val="000000"/>
        </w:rPr>
        <w:t xml:space="preserve"> the years ending “0” or “5” used as the base years. </w:t>
      </w:r>
    </w:p>
    <w:p w:rsidR="00DB5DFE" w:rsidRDefault="00DB5DFE">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eastAsia="宋体" w:hAnsi="Times New Roman" w:cs="Times New Roman" w:hint="eastAsia"/>
          <w:color w:val="000000"/>
          <w:lang w:eastAsia="zh-CN"/>
        </w:rPr>
        <w:t>FWP</w:t>
      </w:r>
      <w:r>
        <w:rPr>
          <w:rFonts w:ascii="Times New Roman" w:eastAsia="宋体" w:hAnsi="Times New Roman" w:cs="Times New Roman"/>
          <w:color w:val="000000"/>
          <w:lang w:eastAsia="zh-CN"/>
        </w:rPr>
        <w:t>’</w:t>
      </w:r>
      <w:r>
        <w:rPr>
          <w:rFonts w:ascii="Times New Roman" w:eastAsia="宋体" w:hAnsi="Times New Roman" w:cs="Times New Roman" w:hint="eastAsia"/>
          <w:color w:val="000000"/>
          <w:lang w:eastAsia="zh-CN"/>
        </w:rPr>
        <w:t>s</w:t>
      </w:r>
      <w:r>
        <w:rPr>
          <w:rFonts w:ascii="Times New Roman" w:hAnsi="Times New Roman" w:cs="Times New Roman"/>
          <w:color w:val="000000"/>
        </w:rPr>
        <w:t xml:space="preserve"> industrial sales income</w:t>
      </w:r>
      <w:r>
        <w:rPr>
          <w:rFonts w:ascii="Times New Roman" w:hAnsi="Times New Roman" w:cs="Times New Roman"/>
          <w:color w:val="000000"/>
          <w:lang w:val="en-GB"/>
        </w:rPr>
        <w:t xml:space="preserve"> filed with the </w:t>
      </w:r>
      <w:proofErr w:type="spellStart"/>
      <w:r>
        <w:rPr>
          <w:rFonts w:ascii="Times New Roman" w:hAnsi="Times New Roman" w:cs="Times New Roman"/>
          <w:color w:val="000000"/>
          <w:lang w:val="en-GB"/>
        </w:rPr>
        <w:t>Mawei</w:t>
      </w:r>
      <w:proofErr w:type="spellEnd"/>
      <w:r>
        <w:rPr>
          <w:rFonts w:ascii="Times New Roman" w:hAnsi="Times New Roman" w:cs="Times New Roman"/>
          <w:color w:val="000000"/>
          <w:lang w:val="en-GB"/>
        </w:rPr>
        <w:t xml:space="preserve"> Bureau</w:t>
      </w:r>
      <w:r>
        <w:rPr>
          <w:rFonts w:ascii="Times New Roman" w:hAnsi="Times New Roman" w:cs="Times New Roman"/>
          <w:color w:val="000000"/>
        </w:rPr>
        <w:t xml:space="preserve"> was calculated by multiplying </w:t>
      </w:r>
      <w:r>
        <w:rPr>
          <w:rFonts w:ascii="Times New Roman" w:eastAsia="宋体" w:hAnsi="Times New Roman" w:cs="Times New Roman" w:hint="eastAsia"/>
          <w:color w:val="000000"/>
          <w:lang w:eastAsia="zh-CN"/>
        </w:rPr>
        <w:t>FWP</w:t>
      </w:r>
      <w:r>
        <w:rPr>
          <w:rFonts w:ascii="Times New Roman" w:eastAsia="宋体" w:hAnsi="Times New Roman" w:cs="Times New Roman"/>
          <w:color w:val="000000"/>
          <w:lang w:eastAsia="zh-CN"/>
        </w:rPr>
        <w:t>’</w:t>
      </w:r>
      <w:r>
        <w:rPr>
          <w:rFonts w:ascii="Times New Roman" w:eastAsia="宋体" w:hAnsi="Times New Roman" w:cs="Times New Roman" w:hint="eastAsia"/>
          <w:color w:val="000000"/>
          <w:lang w:eastAsia="zh-CN"/>
        </w:rPr>
        <w:t>s</w:t>
      </w:r>
      <w:r>
        <w:rPr>
          <w:rFonts w:ascii="Times New Roman" w:hAnsi="Times New Roman" w:cs="Times New Roman"/>
          <w:color w:val="000000"/>
        </w:rPr>
        <w:t xml:space="preserve"> factual annual production for each product by the “Five Year Unchanged Price”.</w:t>
      </w:r>
      <w:r>
        <w:rPr>
          <w:rFonts w:ascii="Times New Roman" w:eastAsia="宋体" w:hAnsi="Times New Roman" w:cs="Times New Roman" w:hint="eastAsia"/>
          <w:color w:val="000000"/>
          <w:lang w:eastAsia="zh-CN"/>
        </w:rPr>
        <w:t xml:space="preserve"> </w:t>
      </w:r>
      <w:r>
        <w:rPr>
          <w:rFonts w:ascii="Times New Roman" w:eastAsia="宋体" w:hAnsi="Times New Roman" w:cs="Times New Roman"/>
          <w:color w:val="000000"/>
          <w:lang w:eastAsia="zh-CN"/>
        </w:rPr>
        <w:t xml:space="preserve"> </w:t>
      </w:r>
      <w:r>
        <w:rPr>
          <w:rFonts w:ascii="Times New Roman" w:eastAsia="宋体" w:hAnsi="Times New Roman" w:cs="Times New Roman" w:hint="eastAsia"/>
          <w:color w:val="000000"/>
          <w:lang w:eastAsia="zh-CN"/>
        </w:rPr>
        <w:t xml:space="preserve">The </w:t>
      </w:r>
      <w:r>
        <w:rPr>
          <w:rFonts w:ascii="Times New Roman" w:eastAsia="宋体" w:hAnsi="Times New Roman" w:cs="Times New Roman"/>
          <w:color w:val="000000"/>
          <w:lang w:eastAsia="zh-CN"/>
        </w:rPr>
        <w:t>“</w:t>
      </w:r>
      <w:r>
        <w:rPr>
          <w:rFonts w:ascii="Times New Roman" w:hAnsi="Times New Roman" w:cs="Times New Roman"/>
          <w:color w:val="000000"/>
        </w:rPr>
        <w:t>industrial sales income</w:t>
      </w:r>
      <w:r>
        <w:rPr>
          <w:rFonts w:ascii="Times New Roman" w:eastAsia="宋体" w:hAnsi="Times New Roman" w:cs="Times New Roman"/>
          <w:color w:val="000000"/>
          <w:lang w:eastAsia="zh-CN"/>
        </w:rPr>
        <w:t>”</w:t>
      </w:r>
      <w:r>
        <w:rPr>
          <w:rFonts w:ascii="Times New Roman" w:eastAsia="宋体" w:hAnsi="Times New Roman" w:cs="Times New Roman" w:hint="eastAsia"/>
          <w:color w:val="000000"/>
          <w:lang w:eastAsia="zh-CN"/>
        </w:rPr>
        <w:t xml:space="preserve"> and </w:t>
      </w:r>
      <w:r>
        <w:rPr>
          <w:rFonts w:ascii="Times New Roman" w:eastAsia="宋体" w:hAnsi="Times New Roman" w:cs="Times New Roman"/>
          <w:color w:val="000000"/>
          <w:lang w:eastAsia="zh-CN"/>
        </w:rPr>
        <w:t>“</w:t>
      </w:r>
      <w:r>
        <w:rPr>
          <w:rFonts w:ascii="Times New Roman" w:eastAsia="宋体" w:hAnsi="Times New Roman" w:cs="Times New Roman" w:hint="eastAsia"/>
          <w:color w:val="000000"/>
          <w:lang w:eastAsia="zh-CN"/>
        </w:rPr>
        <w:t>turnover</w:t>
      </w:r>
      <w:r>
        <w:rPr>
          <w:rFonts w:ascii="Times New Roman" w:eastAsia="宋体" w:hAnsi="Times New Roman" w:cs="Times New Roman"/>
          <w:color w:val="000000"/>
          <w:lang w:eastAsia="zh-CN"/>
        </w:rPr>
        <w:t>”</w:t>
      </w:r>
      <w:r>
        <w:rPr>
          <w:rFonts w:ascii="Times New Roman" w:eastAsia="宋体" w:hAnsi="Times New Roman" w:cs="Times New Roman" w:hint="eastAsia"/>
          <w:color w:val="000000"/>
          <w:lang w:eastAsia="zh-CN"/>
        </w:rPr>
        <w:t xml:space="preserve"> have different nature and hence are not comparable.</w:t>
      </w:r>
      <w:r>
        <w:rPr>
          <w:rFonts w:ascii="Times New Roman" w:hAnsi="Times New Roman" w:cs="Times New Roman"/>
          <w:color w:val="000000"/>
        </w:rPr>
        <w:t xml:space="preserve">  The</w:t>
      </w:r>
      <w:r>
        <w:rPr>
          <w:rFonts w:ascii="Times New Roman" w:eastAsia="宋体" w:hAnsi="Times New Roman" w:cs="Times New Roman" w:hint="eastAsia"/>
          <w:color w:val="000000"/>
          <w:lang w:eastAsia="zh-CN"/>
        </w:rPr>
        <w:t xml:space="preserve"> 2010</w:t>
      </w:r>
      <w:r>
        <w:rPr>
          <w:rFonts w:ascii="Times New Roman" w:hAnsi="Times New Roman" w:cs="Times New Roman"/>
          <w:color w:val="000000"/>
        </w:rPr>
        <w:t xml:space="preserve"> factual annual production for each product filed by </w:t>
      </w:r>
      <w:r>
        <w:rPr>
          <w:rFonts w:ascii="Times New Roman" w:eastAsia="宋体" w:hAnsi="Times New Roman" w:cs="Times New Roman" w:hint="eastAsia"/>
          <w:color w:val="000000"/>
          <w:lang w:eastAsia="zh-CN"/>
        </w:rPr>
        <w:t>FWP</w:t>
      </w:r>
      <w:r>
        <w:rPr>
          <w:rFonts w:ascii="Times New Roman" w:hAnsi="Times New Roman" w:cs="Times New Roman"/>
          <w:color w:val="000000"/>
        </w:rPr>
        <w:t xml:space="preserve"> with the </w:t>
      </w:r>
      <w:proofErr w:type="spellStart"/>
      <w:r>
        <w:rPr>
          <w:rFonts w:ascii="Times New Roman" w:hAnsi="Times New Roman" w:cs="Times New Roman"/>
          <w:color w:val="000000"/>
        </w:rPr>
        <w:t>Mawei</w:t>
      </w:r>
      <w:proofErr w:type="spellEnd"/>
      <w:r>
        <w:rPr>
          <w:rFonts w:ascii="Times New Roman" w:hAnsi="Times New Roman" w:cs="Times New Roman"/>
          <w:color w:val="000000"/>
        </w:rPr>
        <w:t xml:space="preserve"> Bureau had been verified by Pan-China during its 2</w:t>
      </w:r>
      <w:r>
        <w:rPr>
          <w:rFonts w:ascii="Times New Roman" w:hAnsi="Times New Roman" w:cs="Times New Roman"/>
          <w:color w:val="000000"/>
          <w:vertAlign w:val="superscript"/>
        </w:rPr>
        <w:t>nd</w:t>
      </w:r>
      <w:r>
        <w:rPr>
          <w:rFonts w:ascii="Times New Roman" w:hAnsi="Times New Roman" w:cs="Times New Roman"/>
          <w:color w:val="000000"/>
        </w:rPr>
        <w:t xml:space="preserve"> Special Audit with reference to the relevant supporting documents, and after their checking, they were satisfied that the </w:t>
      </w:r>
      <w:r>
        <w:rPr>
          <w:rFonts w:ascii="Times New Roman" w:hAnsi="Times New Roman" w:cs="Times New Roman" w:hint="eastAsia"/>
          <w:color w:val="000000"/>
          <w:lang w:eastAsia="zh-CN"/>
        </w:rPr>
        <w:t>production</w:t>
      </w:r>
      <w:r>
        <w:rPr>
          <w:rFonts w:ascii="Times New Roman" w:hAnsi="Times New Roman" w:cs="Times New Roman"/>
          <w:color w:val="000000"/>
        </w:rPr>
        <w:t xml:space="preserve"> figures were the same as the figures recorded in the Group’s accounting records.</w:t>
      </w:r>
    </w:p>
    <w:p w:rsidR="00DB5DFE" w:rsidRDefault="00DB5DFE">
      <w:pPr>
        <w:ind w:left="450"/>
        <w:jc w:val="both"/>
        <w:rPr>
          <w:rFonts w:ascii="Times New Roman" w:hAnsi="Times New Roman" w:cs="Times New Roman"/>
          <w:color w:val="000000"/>
        </w:rPr>
      </w:pPr>
    </w:p>
    <w:p w:rsidR="00DB5DFE" w:rsidRDefault="00F24EDF">
      <w:pPr>
        <w:pStyle w:val="4"/>
      </w:pPr>
      <w:r>
        <w:lastRenderedPageBreak/>
        <w:t>The reliability of the 2nd Special Audit and the Alleged Inconsistencies relating to the bank balances</w:t>
      </w:r>
    </w:p>
    <w:p w:rsidR="00DB5DFE" w:rsidRDefault="00F24EDF">
      <w:pPr>
        <w:ind w:left="450"/>
        <w:jc w:val="both"/>
        <w:rPr>
          <w:rFonts w:ascii="Times New Roman" w:hAnsi="Times New Roman" w:cs="Times New Roman"/>
          <w:bCs/>
          <w:color w:val="000000"/>
        </w:rPr>
      </w:pPr>
      <w:r>
        <w:rPr>
          <w:rFonts w:ascii="Times New Roman" w:hAnsi="Times New Roman" w:cs="Times New Roman"/>
          <w:bCs/>
          <w:color w:val="000000"/>
        </w:rPr>
        <w:t>Pan-China had had access to all of the correspondence between KPMG and the Group and no matter relating to the correspondence affected the audit result pursuant to the applicable auditing standards.</w:t>
      </w:r>
    </w:p>
    <w:p w:rsidR="00DB5DFE" w:rsidRDefault="00DB5DFE">
      <w:pPr>
        <w:ind w:left="450"/>
        <w:jc w:val="both"/>
        <w:rPr>
          <w:rFonts w:ascii="Times New Roman" w:hAnsi="Times New Roman" w:cs="Times New Roman"/>
          <w:bCs/>
          <w:color w:val="000000"/>
        </w:rPr>
      </w:pPr>
    </w:p>
    <w:p w:rsidR="00DB5DFE" w:rsidRDefault="00F24EDF">
      <w:pPr>
        <w:ind w:left="450"/>
        <w:jc w:val="both"/>
        <w:rPr>
          <w:rFonts w:ascii="Times New Roman" w:hAnsi="Times New Roman" w:cs="Times New Roman"/>
          <w:bCs/>
          <w:color w:val="000000"/>
        </w:rPr>
      </w:pPr>
      <w:r>
        <w:rPr>
          <w:rFonts w:ascii="Times New Roman" w:hAnsi="Times New Roman" w:cs="Times New Roman"/>
          <w:bCs/>
          <w:color w:val="000000"/>
        </w:rPr>
        <w:t>Pan-China has informed the Company that when it conducted the 2</w:t>
      </w:r>
      <w:r>
        <w:rPr>
          <w:rFonts w:ascii="Times New Roman" w:hAnsi="Times New Roman" w:cs="Times New Roman"/>
          <w:bCs/>
          <w:color w:val="000000"/>
          <w:vertAlign w:val="superscript"/>
        </w:rPr>
        <w:t>nd</w:t>
      </w:r>
      <w:r>
        <w:rPr>
          <w:rFonts w:ascii="Times New Roman" w:hAnsi="Times New Roman" w:cs="Times New Roman"/>
          <w:bCs/>
          <w:color w:val="000000"/>
        </w:rPr>
        <w:t xml:space="preserve"> Special Audit, it reviewed its audit work done on the bank balances performed in the 1</w:t>
      </w:r>
      <w:r>
        <w:rPr>
          <w:rFonts w:ascii="Times New Roman" w:hAnsi="Times New Roman" w:cs="Times New Roman"/>
          <w:bCs/>
          <w:color w:val="000000"/>
          <w:vertAlign w:val="superscript"/>
        </w:rPr>
        <w:t>st</w:t>
      </w:r>
      <w:r>
        <w:rPr>
          <w:rFonts w:ascii="Times New Roman" w:hAnsi="Times New Roman" w:cs="Times New Roman"/>
          <w:bCs/>
          <w:color w:val="000000"/>
        </w:rPr>
        <w:t xml:space="preserve"> Special Audit and considered that the audit evidence they had obtained in the 1</w:t>
      </w:r>
      <w:r>
        <w:rPr>
          <w:rFonts w:ascii="Times New Roman" w:hAnsi="Times New Roman" w:cs="Times New Roman"/>
          <w:bCs/>
          <w:color w:val="000000"/>
          <w:vertAlign w:val="superscript"/>
        </w:rPr>
        <w:t>st</w:t>
      </w:r>
      <w:r>
        <w:rPr>
          <w:rFonts w:ascii="Times New Roman" w:hAnsi="Times New Roman" w:cs="Times New Roman"/>
          <w:bCs/>
          <w:color w:val="000000"/>
        </w:rPr>
        <w:t xml:space="preserve"> Special Audit was sufficient and appropriate and no additional works thereon was required in the 2</w:t>
      </w:r>
      <w:r>
        <w:rPr>
          <w:rFonts w:ascii="Times New Roman" w:hAnsi="Times New Roman" w:cs="Times New Roman"/>
          <w:bCs/>
          <w:color w:val="000000"/>
          <w:vertAlign w:val="superscript"/>
        </w:rPr>
        <w:t>nd</w:t>
      </w:r>
      <w:r>
        <w:rPr>
          <w:rFonts w:ascii="Times New Roman" w:hAnsi="Times New Roman" w:cs="Times New Roman"/>
          <w:bCs/>
          <w:color w:val="000000"/>
        </w:rPr>
        <w:t xml:space="preserve"> Special Audit.  Pan-China also did not find any inconsistencies in relation to the Group’s bank balances.</w:t>
      </w:r>
    </w:p>
    <w:p w:rsidR="00DB5DFE" w:rsidRDefault="00DB5DFE">
      <w:pPr>
        <w:ind w:left="450"/>
        <w:jc w:val="both"/>
        <w:rPr>
          <w:rFonts w:ascii="Times New Roman" w:hAnsi="Times New Roman" w:cs="Times New Roman"/>
          <w:b/>
          <w:bCs/>
          <w:color w:val="000000"/>
          <w:sz w:val="26"/>
          <w:szCs w:val="26"/>
          <w:u w:val="single"/>
        </w:rPr>
      </w:pPr>
    </w:p>
    <w:p w:rsidR="00DB5DFE" w:rsidRDefault="00F24EDF">
      <w:pPr>
        <w:pStyle w:val="4"/>
      </w:pPr>
      <w:r>
        <w:t xml:space="preserve">Turnover discrepancies reconciled </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During the 2</w:t>
      </w:r>
      <w:r>
        <w:rPr>
          <w:rFonts w:ascii="Times New Roman" w:hAnsi="Times New Roman" w:cs="Times New Roman"/>
          <w:color w:val="000000"/>
          <w:vertAlign w:val="superscript"/>
        </w:rPr>
        <w:t>nd</w:t>
      </w:r>
      <w:r>
        <w:rPr>
          <w:rFonts w:ascii="Times New Roman" w:hAnsi="Times New Roman" w:cs="Times New Roman"/>
          <w:color w:val="000000"/>
        </w:rPr>
        <w:t xml:space="preserve"> Special Audit, Pan-China reconciled the difference in turnover between FWP’s financial records and the</w:t>
      </w:r>
      <w:r>
        <w:rPr>
          <w:rFonts w:ascii="Times New Roman" w:eastAsia="宋体" w:hAnsi="Times New Roman" w:cs="Times New Roman" w:hint="eastAsia"/>
          <w:color w:val="000000"/>
          <w:lang w:eastAsia="zh-CN"/>
        </w:rPr>
        <w:t xml:space="preserve"> Official</w:t>
      </w:r>
      <w:r>
        <w:rPr>
          <w:rFonts w:ascii="Times New Roman" w:hAnsi="Times New Roman" w:cs="Times New Roman"/>
          <w:color w:val="000000"/>
        </w:rPr>
        <w:t xml:space="preserve"> </w:t>
      </w:r>
      <w:r>
        <w:rPr>
          <w:rFonts w:ascii="Times New Roman" w:hAnsi="Times New Roman" w:cs="Times New Roman"/>
        </w:rPr>
        <w:t xml:space="preserve">AIC </w:t>
      </w:r>
      <w:r>
        <w:rPr>
          <w:rFonts w:ascii="Times New Roman" w:hAnsi="Times New Roman" w:cs="Times New Roman" w:hint="eastAsia"/>
          <w:lang w:eastAsia="zh-CN"/>
        </w:rPr>
        <w:t>Record</w:t>
      </w:r>
      <w:r>
        <w:rPr>
          <w:rFonts w:ascii="Times New Roman" w:hAnsi="Times New Roman" w:cs="Times New Roman"/>
          <w:lang w:eastAsia="zh-CN"/>
        </w:rPr>
        <w:t>s</w:t>
      </w:r>
      <w:r>
        <w:rPr>
          <w:rFonts w:ascii="Times New Roman" w:hAnsi="Times New Roman" w:cs="Times New Roman"/>
          <w:color w:val="000000"/>
        </w:rPr>
        <w:t xml:space="preserve"> as being related to sales to two customers</w:t>
      </w:r>
      <w:r>
        <w:rPr>
          <w:rFonts w:ascii="Times New Roman" w:eastAsia="宋体" w:hAnsi="Times New Roman" w:cs="Times New Roman" w:hint="eastAsia"/>
          <w:color w:val="000000"/>
          <w:lang w:eastAsia="zh-CN"/>
        </w:rPr>
        <w:t xml:space="preserve"> that the </w:t>
      </w:r>
      <w:r>
        <w:rPr>
          <w:rFonts w:ascii="Times New Roman" w:hAnsi="Times New Roman" w:cs="Times New Roman"/>
        </w:rPr>
        <w:t>transactions</w:t>
      </w:r>
      <w:r>
        <w:rPr>
          <w:rFonts w:ascii="Times New Roman" w:eastAsia="宋体" w:hAnsi="Times New Roman" w:cs="Times New Roman" w:hint="eastAsia"/>
          <w:lang w:eastAsia="zh-CN"/>
        </w:rPr>
        <w:t xml:space="preserve"> had to be </w:t>
      </w:r>
      <w:r>
        <w:rPr>
          <w:rFonts w:ascii="Times New Roman" w:hAnsi="Times New Roman" w:cs="Times New Roman"/>
        </w:rPr>
        <w:t>stripped out</w:t>
      </w:r>
      <w:r>
        <w:rPr>
          <w:rFonts w:ascii="Times New Roman" w:eastAsia="宋体" w:hAnsi="Times New Roman" w:cs="Times New Roman" w:hint="eastAsia"/>
          <w:lang w:eastAsia="zh-CN"/>
        </w:rPr>
        <w:t xml:space="preserve"> from PRC</w:t>
      </w:r>
      <w:r>
        <w:rPr>
          <w:rFonts w:ascii="Times New Roman" w:eastAsia="宋体" w:hAnsi="Times New Roman" w:cs="Times New Roman" w:hint="eastAsia"/>
          <w:color w:val="000000"/>
          <w:lang w:eastAsia="zh-CN"/>
        </w:rPr>
        <w:t xml:space="preserve"> </w:t>
      </w:r>
      <w:r>
        <w:rPr>
          <w:rFonts w:ascii="Times New Roman" w:hAnsi="Times New Roman" w:cs="Times New Roman"/>
        </w:rPr>
        <w:t>governmental public information platforms</w:t>
      </w:r>
      <w:r>
        <w:rPr>
          <w:rFonts w:ascii="Times New Roman" w:eastAsia="宋体" w:hAnsi="Times New Roman" w:cs="Times New Roman" w:hint="eastAsia"/>
          <w:lang w:eastAsia="zh-CN"/>
        </w:rPr>
        <w:t xml:space="preserve"> under the prevailing</w:t>
      </w:r>
      <w:r>
        <w:rPr>
          <w:rFonts w:ascii="Times New Roman" w:hAnsi="Times New Roman" w:cs="Times New Roman"/>
          <w:b/>
        </w:rPr>
        <w:t xml:space="preserve"> </w:t>
      </w:r>
      <w:r>
        <w:rPr>
          <w:rFonts w:ascii="Times New Roman" w:hAnsi="Times New Roman" w:cs="Times New Roman"/>
        </w:rPr>
        <w:t>PRC State Secrets Law</w:t>
      </w:r>
      <w:r>
        <w:rPr>
          <w:rFonts w:ascii="Times New Roman" w:hAnsi="Times New Roman" w:cs="Times New Roman"/>
          <w:color w:val="000000"/>
        </w:rPr>
        <w:t>.</w:t>
      </w:r>
    </w:p>
    <w:p w:rsidR="00DB5DFE" w:rsidRDefault="00DB5DFE">
      <w:pPr>
        <w:ind w:left="450"/>
        <w:jc w:val="both"/>
        <w:rPr>
          <w:rFonts w:ascii="Times New Roman" w:eastAsia="宋体" w:hAnsi="Times New Roman" w:cs="Times New Roman"/>
          <w:color w:val="000000"/>
          <w:lang w:eastAsia="zh-CN"/>
        </w:rPr>
      </w:pP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 xml:space="preserve">Among others, Pan-China has informed the Company that it had verified the amounts of sales of the two customers and after their checking, they were satisfied that the sales figures were the same as the figures recorded in the Group’s accounting records. </w:t>
      </w:r>
    </w:p>
    <w:p w:rsidR="00DB5DFE" w:rsidRDefault="00DB5DFE">
      <w:pPr>
        <w:ind w:left="450"/>
        <w:jc w:val="both"/>
        <w:rPr>
          <w:rFonts w:ascii="Times New Roman" w:hAnsi="Times New Roman" w:cs="Times New Roman"/>
          <w:color w:val="000000"/>
        </w:rPr>
      </w:pPr>
    </w:p>
    <w:p w:rsidR="00DB5DFE" w:rsidRDefault="00F24EDF">
      <w:pPr>
        <w:pStyle w:val="4"/>
      </w:pPr>
      <w:r>
        <w:t xml:space="preserve">Ability to carry out audits as a result of the </w:t>
      </w:r>
      <w:r>
        <w:rPr>
          <w:rFonts w:eastAsia="宋体" w:hint="eastAsia"/>
          <w:lang w:eastAsia="zh-CN"/>
        </w:rPr>
        <w:t>Group</w:t>
      </w:r>
      <w:r>
        <w:t xml:space="preserve">’s state secrets business </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The Group currently conducts businesses involving state secrets. Accordingly, the Group is required to comply with the PRC State Secrets Law and the State Secrets Regulations.</w:t>
      </w:r>
      <w:r>
        <w:rPr>
          <w:rFonts w:ascii="Times New Roman" w:hAnsi="Times New Roman" w:cs="Times New Roman" w:hint="eastAsia"/>
          <w:color w:val="000000"/>
          <w:lang w:eastAsia="zh-CN"/>
        </w:rPr>
        <w:t xml:space="preserve"> </w:t>
      </w:r>
      <w:r>
        <w:rPr>
          <w:rFonts w:ascii="Times New Roman" w:hAnsi="Times New Roman" w:cs="Times New Roman"/>
          <w:color w:val="000000"/>
          <w:lang w:eastAsia="zh-CN"/>
        </w:rPr>
        <w:t xml:space="preserve"> However, </w:t>
      </w:r>
      <w:r>
        <w:rPr>
          <w:rFonts w:ascii="Times New Roman" w:hAnsi="Times New Roman" w:cs="Times New Roman"/>
          <w:color w:val="000000"/>
        </w:rPr>
        <w:t xml:space="preserve">compliance with </w:t>
      </w:r>
      <w:r>
        <w:rPr>
          <w:rFonts w:ascii="Times New Roman" w:hAnsi="Times New Roman" w:cs="Times New Roman"/>
        </w:rPr>
        <w:t>PRC State Secrets Law and State Secrets Regulations</w:t>
      </w:r>
      <w:r>
        <w:rPr>
          <w:rFonts w:ascii="Times New Roman" w:hAnsi="Times New Roman" w:cs="Times New Roman"/>
          <w:color w:val="000000"/>
        </w:rPr>
        <w:t xml:space="preserve"> will not render the Group’s financial performance not fully </w:t>
      </w:r>
      <w:proofErr w:type="spellStart"/>
      <w:r>
        <w:rPr>
          <w:rFonts w:ascii="Times New Roman" w:hAnsi="Times New Roman" w:cs="Times New Roman"/>
          <w:color w:val="000000"/>
        </w:rPr>
        <w:t>scrutinised</w:t>
      </w:r>
      <w:proofErr w:type="spellEnd"/>
      <w:r>
        <w:rPr>
          <w:rFonts w:ascii="Times New Roman" w:hAnsi="Times New Roman" w:cs="Times New Roman"/>
          <w:color w:val="000000"/>
        </w:rPr>
        <w:t xml:space="preserve"> or audited in accordance with the applicable Hong Kong accounting standards, nor will it cause the Group to find itself unable to comply with the relevant statutory provisions and regulations and the Listing Rules.</w:t>
      </w:r>
    </w:p>
    <w:p w:rsidR="00DB5DFE" w:rsidRDefault="00DB5DFE">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hint="eastAsia"/>
          <w:color w:val="000000"/>
        </w:rPr>
        <w:t>T</w:t>
      </w:r>
      <w:r>
        <w:rPr>
          <w:rFonts w:ascii="Times New Roman" w:hAnsi="Times New Roman" w:cs="Times New Roman"/>
          <w:color w:val="000000"/>
        </w:rPr>
        <w:t xml:space="preserve">his is because the PRC State Secrets Law and the PRC State Secrets Regulations only require the Group not to disclose the technical specifications and the </w:t>
      </w:r>
      <w:r>
        <w:rPr>
          <w:rFonts w:ascii="Times New Roman" w:hAnsi="Times New Roman" w:cs="Times New Roman"/>
          <w:color w:val="000000"/>
        </w:rPr>
        <w:lastRenderedPageBreak/>
        <w:t xml:space="preserve">technology involved in the products sold by the Group to the relevant governmental departments, as well as the personnel involved in the projects involving state secrets. It does not set any restriction on the audit or disclosure of financial information of the Group. </w:t>
      </w:r>
    </w:p>
    <w:p w:rsidR="00DB5DFE" w:rsidRDefault="00DB5DFE">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Furthermore, inconsistencies in financial information created by adjustments required under the PRC State Secret Laws will no longer occur as FWP has been granted a waiver from the relevant PRC governmental departments so that no adjustments need to be made to the operating data reported by FWP and also, according to the prevailing relevant laws and regulations, FWP no longer has any qualification to enter into contracts involving state secret products with the PRC military.</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 xml:space="preserve"> </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 xml:space="preserve">Furthermore, Pan-China has given a confirmation to the Company (which also has been provided to the SFC) that it has all along been able to obtain sufficient appropriate audit evidence to conclude that the financial statements of the Group as a whole are free from material misstatements, and that despite the fact that some of the Group’s business involves state secrets, it is able to perform its audit of the Company’s accounts in accordance with the relevant Hong Kong auditing standards since it does not require the Additional Information for their audits under the relevant Hong Kong auditing standards. </w:t>
      </w:r>
    </w:p>
    <w:p w:rsidR="00DB5DFE" w:rsidRDefault="00DB5DFE">
      <w:pPr>
        <w:jc w:val="both"/>
        <w:rPr>
          <w:rFonts w:ascii="Times New Roman" w:hAnsi="Times New Roman" w:cs="Times New Roman"/>
          <w:color w:val="000000"/>
        </w:rPr>
      </w:pPr>
    </w:p>
    <w:p w:rsidR="00DB5DFE" w:rsidRDefault="00F24EDF">
      <w:pPr>
        <w:ind w:left="449" w:hangingChars="187" w:hanging="449"/>
        <w:jc w:val="both"/>
        <w:rPr>
          <w:rFonts w:ascii="Times New Roman" w:hAnsi="Times New Roman" w:cs="Times New Roman"/>
          <w:color w:val="000000"/>
        </w:rPr>
      </w:pPr>
      <w:r>
        <w:rPr>
          <w:rFonts w:ascii="Times New Roman" w:hAnsi="Times New Roman" w:cs="Times New Roman"/>
          <w:color w:val="000000"/>
        </w:rPr>
        <w:t>4F.</w:t>
      </w:r>
      <w:r>
        <w:rPr>
          <w:rFonts w:ascii="Times New Roman" w:hAnsi="Times New Roman" w:cs="Times New Roman"/>
          <w:color w:val="000000"/>
        </w:rPr>
        <w:tab/>
        <w:t>Appointment of new auditor and audited consolidated financial statements and the reports of the Directors and of the independent auditors of the Company for the year ended 30 June 2022</w:t>
      </w:r>
    </w:p>
    <w:p w:rsidR="00DB5DFE" w:rsidRDefault="00DB5DFE">
      <w:pPr>
        <w:ind w:left="449" w:hangingChars="187" w:hanging="449"/>
        <w:jc w:val="both"/>
        <w:rPr>
          <w:rFonts w:ascii="Times New Roman" w:hAnsi="Times New Roman" w:cs="Times New Roman"/>
          <w:color w:val="000000"/>
        </w:rPr>
      </w:pPr>
    </w:p>
    <w:p w:rsidR="00DB5DFE" w:rsidRDefault="00F24EDF">
      <w:pPr>
        <w:widowControl/>
        <w:numPr>
          <w:ilvl w:val="0"/>
          <w:numId w:val="3"/>
        </w:numPr>
        <w:tabs>
          <w:tab w:val="left" w:pos="1080"/>
        </w:tabs>
        <w:spacing w:after="160" w:line="259" w:lineRule="auto"/>
        <w:ind w:left="1080" w:hanging="630"/>
        <w:contextualSpacing/>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 xml:space="preserve">Pursuant to the announcement of the Company dated 6 June 2022, Pan-China resigned as the auditor of the Company with effect from 6 June 2022 as Pan-China had decided to withdraw from engagement of any services in PIE (Public Interest Entity) audits due to limitation of its manpower availability.  Pan-China confirmed that there were no circumstances connected with its resignation that need to be brought to the attention of the shareholders or creditors of the Company.  </w:t>
      </w:r>
    </w:p>
    <w:p w:rsidR="00DB5DFE" w:rsidRDefault="00DB5DFE">
      <w:pPr>
        <w:widowControl/>
        <w:tabs>
          <w:tab w:val="left" w:pos="1080"/>
        </w:tabs>
        <w:spacing w:after="160" w:line="259" w:lineRule="auto"/>
        <w:ind w:left="1080" w:hanging="630"/>
        <w:rPr>
          <w:rFonts w:ascii="Times New Roman" w:hAnsi="Times New Roman" w:cs="Times New Roman"/>
          <w:kern w:val="0"/>
          <w:sz w:val="22"/>
          <w:szCs w:val="22"/>
        </w:rPr>
      </w:pPr>
    </w:p>
    <w:p w:rsidR="00DB5DFE" w:rsidRDefault="00F24EDF">
      <w:pPr>
        <w:widowControl/>
        <w:numPr>
          <w:ilvl w:val="0"/>
          <w:numId w:val="3"/>
        </w:numPr>
        <w:tabs>
          <w:tab w:val="left" w:pos="1080"/>
        </w:tabs>
        <w:spacing w:after="160" w:line="259" w:lineRule="auto"/>
        <w:ind w:left="1080" w:hanging="630"/>
        <w:contextualSpacing/>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On 29 June 2022, Crowe (HK) CPA Limited (‘‘</w:t>
      </w:r>
      <w:r>
        <w:rPr>
          <w:rFonts w:ascii="Times New Roman" w:hAnsi="Times New Roman" w:cs="Times New Roman"/>
          <w:b/>
          <w:kern w:val="0"/>
          <w:sz w:val="22"/>
          <w:szCs w:val="22"/>
          <w:lang w:eastAsia="zh-CN"/>
        </w:rPr>
        <w:t>Crowe (HK)</w:t>
      </w:r>
      <w:r>
        <w:rPr>
          <w:rFonts w:ascii="Times New Roman" w:hAnsi="Times New Roman" w:cs="Times New Roman"/>
          <w:kern w:val="0"/>
          <w:sz w:val="22"/>
          <w:szCs w:val="22"/>
          <w:lang w:eastAsia="zh-CN"/>
        </w:rPr>
        <w:t xml:space="preserve">’’) has been appointed as the new auditor of the Company to fill the casual vacancy following the resignation of Pan-China and to hold office until conclusion of the next annual </w:t>
      </w:r>
      <w:r>
        <w:rPr>
          <w:rFonts w:ascii="Times New Roman" w:hAnsi="Times New Roman" w:cs="Times New Roman"/>
          <w:kern w:val="0"/>
          <w:sz w:val="22"/>
          <w:szCs w:val="22"/>
          <w:lang w:eastAsia="zh-CN"/>
        </w:rPr>
        <w:lastRenderedPageBreak/>
        <w:t xml:space="preserve">general meeting of the Company. Crowe (HK) was re-appointed as the auditor on 16 December 2022 in the annual general meeting of the Company.  </w:t>
      </w:r>
    </w:p>
    <w:p w:rsidR="00DB5DFE" w:rsidRDefault="00DB5DFE">
      <w:pPr>
        <w:widowControl/>
        <w:tabs>
          <w:tab w:val="left" w:pos="1080"/>
        </w:tabs>
        <w:spacing w:after="160" w:line="259" w:lineRule="auto"/>
        <w:contextualSpacing/>
        <w:jc w:val="both"/>
        <w:rPr>
          <w:rFonts w:ascii="Times New Roman" w:hAnsi="Times New Roman" w:cs="Times New Roman"/>
          <w:kern w:val="0"/>
          <w:sz w:val="22"/>
          <w:szCs w:val="22"/>
          <w:lang w:eastAsia="zh-CN"/>
        </w:rPr>
      </w:pPr>
    </w:p>
    <w:p w:rsidR="00DB5DFE" w:rsidRDefault="00F24EDF">
      <w:pPr>
        <w:widowControl/>
        <w:numPr>
          <w:ilvl w:val="0"/>
          <w:numId w:val="3"/>
        </w:numPr>
        <w:tabs>
          <w:tab w:val="left" w:pos="1080"/>
        </w:tabs>
        <w:spacing w:after="160" w:line="259" w:lineRule="auto"/>
        <w:ind w:left="1080" w:hanging="630"/>
        <w:contextualSpacing/>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 xml:space="preserve">Audited consolidated financial statements and the reports of the Directors and of the independent auditors of the Company for the year ended 30 June 2022 were published on 25 October 2022 in the Group’s annual report dated 30 September 2022.  </w:t>
      </w:r>
    </w:p>
    <w:p w:rsidR="00DB5DFE" w:rsidRDefault="00DB5DFE">
      <w:pPr>
        <w:widowControl/>
        <w:tabs>
          <w:tab w:val="left" w:pos="1080"/>
        </w:tabs>
        <w:spacing w:after="160" w:line="259" w:lineRule="auto"/>
        <w:ind w:left="1080" w:hanging="630"/>
        <w:rPr>
          <w:rFonts w:ascii="Times New Roman" w:hAnsi="Times New Roman" w:cs="Times New Roman"/>
          <w:kern w:val="0"/>
          <w:sz w:val="22"/>
          <w:szCs w:val="22"/>
        </w:rPr>
      </w:pPr>
    </w:p>
    <w:p w:rsidR="00DB5DFE" w:rsidRDefault="00F24EDF">
      <w:pPr>
        <w:widowControl/>
        <w:numPr>
          <w:ilvl w:val="0"/>
          <w:numId w:val="3"/>
        </w:numPr>
        <w:tabs>
          <w:tab w:val="left" w:pos="1080"/>
        </w:tabs>
        <w:spacing w:after="160" w:line="259" w:lineRule="auto"/>
        <w:ind w:left="1080" w:hanging="630"/>
        <w:contextualSpacing/>
        <w:jc w:val="both"/>
        <w:rPr>
          <w:rFonts w:ascii="Times New Roman" w:hAnsi="Times New Roman" w:cs="Times New Roman"/>
          <w:kern w:val="0"/>
          <w:sz w:val="22"/>
          <w:szCs w:val="22"/>
        </w:rPr>
      </w:pPr>
      <w:r>
        <w:rPr>
          <w:rFonts w:ascii="Times New Roman" w:hAnsi="Times New Roman" w:cs="Times New Roman"/>
          <w:kern w:val="0"/>
          <w:sz w:val="22"/>
          <w:szCs w:val="22"/>
          <w:lang w:eastAsia="zh-CN"/>
        </w:rPr>
        <w:t>On 2 April 2022, China Securities Regulatory Commission has published the “Draft for Comments regarding the Provisions on Strengthening Confidentiality and Archives Administration of Overseas Securities Offering and Listing by Domestic Companies” (</w:t>
      </w:r>
      <w:r>
        <w:rPr>
          <w:rFonts w:ascii="Times New Roman" w:hAnsi="Times New Roman" w:cs="Times New Roman"/>
          <w:kern w:val="0"/>
          <w:sz w:val="22"/>
          <w:szCs w:val="22"/>
          <w:lang w:eastAsia="zh-CN"/>
        </w:rPr>
        <w:t>关于加强境内企业境外发行证券和上市相关保密和档案管理工作的规定（征求意见稿）</w:t>
      </w:r>
      <w:r>
        <w:rPr>
          <w:rFonts w:ascii="Times New Roman" w:hAnsi="Times New Roman" w:cs="Times New Roman"/>
          <w:kern w:val="0"/>
          <w:sz w:val="22"/>
          <w:szCs w:val="22"/>
          <w:lang w:eastAsia="zh-CN"/>
        </w:rPr>
        <w:t>) (“</w:t>
      </w:r>
      <w:r>
        <w:rPr>
          <w:rFonts w:ascii="Times New Roman" w:hAnsi="Times New Roman" w:cs="Times New Roman"/>
          <w:b/>
          <w:kern w:val="0"/>
          <w:sz w:val="22"/>
          <w:szCs w:val="22"/>
          <w:lang w:eastAsia="zh-CN"/>
        </w:rPr>
        <w:t>Draft Provisions</w:t>
      </w:r>
      <w:r>
        <w:rPr>
          <w:rFonts w:ascii="Times New Roman" w:hAnsi="Times New Roman" w:cs="Times New Roman"/>
          <w:kern w:val="0"/>
          <w:sz w:val="22"/>
          <w:szCs w:val="22"/>
          <w:lang w:eastAsia="zh-CN"/>
        </w:rPr>
        <w:t>”).  As advised by the Company’s legal adviser as to the laws of the PRC, if the Draft Provisions are implemented in the form as set out therein, it will not affect the Group’s duty and ability to prepare the consolidated financial statements in accordance with the relevant accounting standards.  It was announced on 24 February 2024 that the Draft Provisions would be substantially implemented as the “Provisions on Strengthening Confidentiality and Archives Administration of Overseas Securities Offering and Listing by Domestic Companies” (</w:t>
      </w:r>
      <w:r>
        <w:rPr>
          <w:rFonts w:ascii="Times New Roman" w:hAnsi="Times New Roman" w:cs="Times New Roman" w:hint="eastAsia"/>
          <w:kern w:val="0"/>
          <w:sz w:val="22"/>
          <w:szCs w:val="22"/>
          <w:lang w:eastAsia="zh-CN"/>
        </w:rPr>
        <w:t>关于加强境内企业境外发行证券和上市相关保密和档案管理工作的规定</w:t>
      </w:r>
      <w:r>
        <w:rPr>
          <w:rFonts w:ascii="Times New Roman" w:hAnsi="Times New Roman" w:cs="Times New Roman" w:hint="eastAsia"/>
          <w:kern w:val="0"/>
          <w:sz w:val="22"/>
          <w:szCs w:val="22"/>
          <w:lang w:eastAsia="zh-CN"/>
        </w:rPr>
        <w:t>)</w:t>
      </w:r>
      <w:r>
        <w:rPr>
          <w:rFonts w:ascii="Times New Roman" w:hAnsi="Times New Roman" w:cs="Times New Roman"/>
          <w:kern w:val="0"/>
          <w:sz w:val="22"/>
          <w:szCs w:val="22"/>
          <w:lang w:eastAsia="zh-CN"/>
        </w:rPr>
        <w:t xml:space="preserve"> (the “</w:t>
      </w:r>
      <w:r>
        <w:rPr>
          <w:rFonts w:ascii="Times New Roman" w:hAnsi="Times New Roman" w:cs="Times New Roman"/>
          <w:b/>
          <w:kern w:val="0"/>
          <w:sz w:val="22"/>
          <w:szCs w:val="22"/>
          <w:lang w:eastAsia="zh-CN"/>
        </w:rPr>
        <w:t>Provisions</w:t>
      </w:r>
      <w:r>
        <w:rPr>
          <w:rFonts w:ascii="Times New Roman" w:hAnsi="Times New Roman" w:cs="Times New Roman"/>
          <w:kern w:val="0"/>
          <w:sz w:val="22"/>
          <w:szCs w:val="22"/>
          <w:lang w:eastAsia="zh-CN"/>
        </w:rPr>
        <w:t xml:space="preserve">”) and such Provisions will come into effect on 31 March 2023.  The Company’s legal adviser as to the laws of the PRC further confirmed that the Provisions will not affect the Group’s duty and ability to prepare the consolidated financial statements in accordance with the relevant accounting standards.  </w:t>
      </w:r>
    </w:p>
    <w:p w:rsidR="00DB5DFE" w:rsidRDefault="00DB5DFE">
      <w:pPr>
        <w:widowControl/>
        <w:tabs>
          <w:tab w:val="left" w:pos="1080"/>
        </w:tabs>
        <w:spacing w:after="160" w:line="259" w:lineRule="auto"/>
        <w:ind w:left="1080" w:hanging="630"/>
        <w:contextualSpacing/>
        <w:jc w:val="both"/>
        <w:rPr>
          <w:rFonts w:ascii="Times New Roman" w:hAnsi="Times New Roman" w:cs="Times New Roman"/>
          <w:kern w:val="0"/>
          <w:sz w:val="22"/>
          <w:szCs w:val="22"/>
        </w:rPr>
      </w:pPr>
    </w:p>
    <w:p w:rsidR="00DB5DFE" w:rsidRDefault="00F24EDF">
      <w:pPr>
        <w:widowControl/>
        <w:numPr>
          <w:ilvl w:val="0"/>
          <w:numId w:val="3"/>
        </w:numPr>
        <w:tabs>
          <w:tab w:val="left" w:pos="1080"/>
        </w:tabs>
        <w:spacing w:after="160" w:line="259" w:lineRule="auto"/>
        <w:ind w:left="1080" w:hanging="630"/>
        <w:contextualSpacing/>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As confirmed by Crowe (HK), in conducting and having completed the audit for the consolidated financial statements of the Group for the year ended 30 June 2022, Crowe (HK) had confirmed that it was not aware of any scope limitation in performing its audit procedures in accordance with the Hong Kong Standards of Auditing (“</w:t>
      </w:r>
      <w:r>
        <w:rPr>
          <w:rFonts w:ascii="Times New Roman" w:hAnsi="Times New Roman" w:cs="Times New Roman"/>
          <w:b/>
          <w:bCs/>
          <w:kern w:val="0"/>
          <w:sz w:val="22"/>
          <w:szCs w:val="22"/>
          <w:lang w:eastAsia="zh-CN"/>
        </w:rPr>
        <w:t>HKSAs</w:t>
      </w:r>
      <w:r>
        <w:rPr>
          <w:rFonts w:ascii="Times New Roman" w:hAnsi="Times New Roman" w:cs="Times New Roman"/>
          <w:kern w:val="0"/>
          <w:sz w:val="22"/>
          <w:szCs w:val="22"/>
          <w:lang w:eastAsia="zh-CN"/>
        </w:rPr>
        <w:t xml:space="preserve">”) issued by Hong Kong Institute of Certified Public Accountants despite the fact that some of the Group’s business involves state secrets.  </w:t>
      </w:r>
      <w:proofErr w:type="gramStart"/>
      <w:r>
        <w:rPr>
          <w:rFonts w:ascii="Times New Roman" w:hAnsi="Times New Roman" w:cs="Times New Roman"/>
          <w:kern w:val="0"/>
          <w:sz w:val="22"/>
          <w:szCs w:val="22"/>
          <w:lang w:eastAsia="zh-CN"/>
        </w:rPr>
        <w:t>Also</w:t>
      </w:r>
      <w:proofErr w:type="gramEnd"/>
      <w:r>
        <w:rPr>
          <w:rFonts w:ascii="Times New Roman" w:hAnsi="Times New Roman" w:cs="Times New Roman"/>
          <w:kern w:val="0"/>
          <w:sz w:val="22"/>
          <w:szCs w:val="22"/>
          <w:lang w:eastAsia="zh-CN"/>
        </w:rPr>
        <w:t xml:space="preserve"> Crowe (HK) was not aware of any significant matters that would preclude them from complying with the HKSAs. </w:t>
      </w:r>
    </w:p>
    <w:p w:rsidR="00DB5DFE" w:rsidRDefault="00DB5DFE">
      <w:pPr>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hint="eastAsia"/>
          <w:color w:val="000000"/>
        </w:rPr>
        <w:lastRenderedPageBreak/>
        <w:t>T</w:t>
      </w:r>
      <w:r>
        <w:rPr>
          <w:rFonts w:ascii="Times New Roman" w:hAnsi="Times New Roman" w:cs="Times New Roman"/>
          <w:color w:val="000000"/>
        </w:rPr>
        <w:t>herefore, the Company is confident that its auditors will continue to be able to conduct audits in accordance with the relevant HKSAs after resumption of trading of the Shares.</w:t>
      </w:r>
    </w:p>
    <w:p w:rsidR="00DB5DFE" w:rsidRDefault="00DB5DFE">
      <w:pPr>
        <w:ind w:left="450"/>
        <w:jc w:val="both"/>
        <w:rPr>
          <w:rFonts w:ascii="Times New Roman" w:hAnsi="Times New Roman"/>
          <w:b/>
          <w:color w:val="000000"/>
          <w:u w:val="single"/>
        </w:rPr>
      </w:pPr>
    </w:p>
    <w:p w:rsidR="00DB5DFE" w:rsidRDefault="00F24EDF">
      <w:pPr>
        <w:ind w:leftChars="188" w:left="451"/>
        <w:jc w:val="both"/>
        <w:rPr>
          <w:rFonts w:ascii="Times New Roman" w:hAnsi="Times New Roman" w:cs="Times New Roman"/>
          <w:color w:val="000000"/>
        </w:rPr>
      </w:pPr>
      <w:r>
        <w:rPr>
          <w:rFonts w:ascii="Times New Roman" w:hAnsi="Times New Roman" w:cs="Times New Roman"/>
          <w:color w:val="000000"/>
        </w:rPr>
        <w:t xml:space="preserve">In light of the above, the Company considers that SFC’s concerns have already been addressed by the Company. </w:t>
      </w:r>
    </w:p>
    <w:p w:rsidR="00DB5DFE" w:rsidRDefault="00DB5DFE">
      <w:pPr>
        <w:jc w:val="both"/>
        <w:rPr>
          <w:rFonts w:ascii="Times New Roman" w:hAnsi="Times New Roman" w:cs="Times New Roman"/>
          <w:color w:val="000000"/>
        </w:rPr>
      </w:pPr>
    </w:p>
    <w:p w:rsidR="00DB5DFE" w:rsidRDefault="00F24EDF">
      <w:pPr>
        <w:pStyle w:val="1"/>
      </w:pPr>
      <w:r>
        <w:t xml:space="preserve">RESUMPTION OF TRADING OF THE SHARES </w:t>
      </w: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Trading in the shares of the Company has been suspended since 9:30 a.m. on 22 August 2012.</w:t>
      </w:r>
    </w:p>
    <w:p w:rsidR="00F24EDF" w:rsidRDefault="00F24EDF">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On 7 November 2019, the Company applied for resumption of trading of the Shares pursuant to section 9(1) of the Securities and Futures (Stock Market Listing) Rules.</w:t>
      </w:r>
    </w:p>
    <w:p w:rsidR="00DB5DFE" w:rsidRDefault="00DB5DFE">
      <w:pPr>
        <w:ind w:left="450"/>
        <w:jc w:val="both"/>
        <w:rPr>
          <w:rFonts w:ascii="Times New Roman" w:hAnsi="Times New Roman" w:cs="Times New Roman"/>
          <w:color w:val="000000"/>
        </w:rPr>
      </w:pPr>
    </w:p>
    <w:p w:rsidR="00DB5DFE" w:rsidRDefault="00F24EDF">
      <w:pPr>
        <w:ind w:left="450"/>
        <w:jc w:val="both"/>
        <w:rPr>
          <w:rFonts w:ascii="Times New Roman" w:hAnsi="Times New Roman" w:cs="Times New Roman"/>
          <w:color w:val="000000"/>
        </w:rPr>
      </w:pPr>
      <w:r>
        <w:rPr>
          <w:rFonts w:ascii="Times New Roman" w:hAnsi="Times New Roman" w:cs="Times New Roman"/>
          <w:color w:val="000000"/>
        </w:rPr>
        <w:t>The SFC has notified the Stock Exchange that the trading in the Shares will be permitted to recommence pursuant to section 9(3) of the Securities and Futures (Stock Market Listing) Rules with effect from 9:00 a.m. on 26 April 2023.</w:t>
      </w:r>
    </w:p>
    <w:p w:rsidR="00DB5DFE" w:rsidRDefault="00F24EDF">
      <w:pPr>
        <w:autoSpaceDE w:val="0"/>
        <w:autoSpaceDN w:val="0"/>
        <w:spacing w:before="10"/>
        <w:rPr>
          <w:rFonts w:ascii="Times New Roman" w:eastAsia="Times New Roman" w:hAnsi="Times New Roman" w:cs="Times New Roman"/>
          <w:kern w:val="0"/>
        </w:rPr>
      </w:pPr>
      <w:r>
        <w:rPr>
          <w:rFonts w:ascii="Times New Roman" w:hAnsi="Times New Roman" w:cs="Times New Roman"/>
        </w:rPr>
        <w:t xml:space="preserve"> </w:t>
      </w:r>
    </w:p>
    <w:p w:rsidR="00DB5DFE" w:rsidRDefault="00F24EDF">
      <w:pPr>
        <w:autoSpaceDE w:val="0"/>
        <w:autoSpaceDN w:val="0"/>
        <w:spacing w:before="1"/>
        <w:ind w:left="4770" w:hanging="1620"/>
        <w:jc w:val="center"/>
        <w:rPr>
          <w:rFonts w:ascii="Times New Roman" w:eastAsia="Times New Roman" w:hAnsi="Times New Roman" w:cs="Times New Roman"/>
          <w:kern w:val="0"/>
          <w:lang w:eastAsia="en-US"/>
        </w:rPr>
      </w:pPr>
      <w:r>
        <w:rPr>
          <w:rFonts w:ascii="Times New Roman" w:eastAsia="Times New Roman" w:hAnsi="Times New Roman" w:cs="Times New Roman"/>
          <w:color w:val="231F20"/>
          <w:w w:val="104"/>
          <w:kern w:val="0"/>
          <w:lang w:eastAsia="en-US"/>
        </w:rPr>
        <w:t>By order of the Board</w:t>
      </w:r>
    </w:p>
    <w:p w:rsidR="00DB5DFE" w:rsidRDefault="00F24EDF">
      <w:pPr>
        <w:autoSpaceDE w:val="0"/>
        <w:autoSpaceDN w:val="0"/>
        <w:spacing w:before="23"/>
        <w:ind w:left="4770" w:right="-30" w:hanging="1620"/>
        <w:jc w:val="center"/>
        <w:rPr>
          <w:rFonts w:ascii="Times New Roman" w:eastAsia="Times New Roman" w:hAnsi="Times New Roman" w:cs="Times New Roman"/>
          <w:b/>
          <w:color w:val="231F20"/>
          <w:kern w:val="0"/>
          <w:lang w:eastAsia="en-US"/>
        </w:rPr>
      </w:pPr>
      <w:r>
        <w:rPr>
          <w:rFonts w:ascii="Times New Roman" w:eastAsia="Times New Roman" w:hAnsi="Times New Roman" w:cs="Times New Roman"/>
          <w:b/>
          <w:color w:val="231F20"/>
          <w:kern w:val="0"/>
          <w:lang w:eastAsia="en-US"/>
        </w:rPr>
        <w:t>China High Precision Automation Group Limited</w:t>
      </w:r>
    </w:p>
    <w:p w:rsidR="00DB5DFE" w:rsidRDefault="00F24EDF">
      <w:pPr>
        <w:autoSpaceDE w:val="0"/>
        <w:autoSpaceDN w:val="0"/>
        <w:spacing w:before="23"/>
        <w:ind w:left="4770" w:right="-30" w:hanging="1620"/>
        <w:jc w:val="center"/>
        <w:rPr>
          <w:rFonts w:ascii="Times New Roman" w:eastAsia="Times New Roman" w:hAnsi="Times New Roman" w:cs="Times New Roman"/>
          <w:b/>
          <w:kern w:val="0"/>
          <w:lang w:eastAsia="en-US"/>
        </w:rPr>
      </w:pPr>
      <w:r>
        <w:rPr>
          <w:rFonts w:ascii="Times New Roman" w:eastAsia="Times New Roman" w:hAnsi="Times New Roman" w:cs="Times New Roman"/>
          <w:b/>
          <w:color w:val="231F20"/>
          <w:kern w:val="0"/>
          <w:lang w:eastAsia="en-US"/>
        </w:rPr>
        <w:t>Wong Fun Chung</w:t>
      </w:r>
    </w:p>
    <w:p w:rsidR="00DB5DFE" w:rsidRDefault="00F24EDF">
      <w:pPr>
        <w:autoSpaceDE w:val="0"/>
        <w:autoSpaceDN w:val="0"/>
        <w:spacing w:before="1"/>
        <w:ind w:left="4770" w:right="363" w:hanging="1620"/>
        <w:jc w:val="center"/>
        <w:rPr>
          <w:rFonts w:ascii="Times New Roman" w:eastAsia="Times New Roman" w:hAnsi="Times New Roman" w:cs="Times New Roman"/>
          <w:i/>
          <w:color w:val="231F20"/>
          <w:kern w:val="0"/>
          <w:lang w:eastAsia="en-US"/>
        </w:rPr>
      </w:pPr>
      <w:r>
        <w:rPr>
          <w:rFonts w:ascii="Times New Roman" w:eastAsia="Times New Roman" w:hAnsi="Times New Roman" w:cs="Times New Roman"/>
          <w:i/>
          <w:color w:val="231F20"/>
          <w:kern w:val="0"/>
          <w:lang w:eastAsia="en-US"/>
        </w:rPr>
        <w:t xml:space="preserve">    Chairman</w:t>
      </w:r>
    </w:p>
    <w:p w:rsidR="00DB5DFE" w:rsidRDefault="00DB5DFE">
      <w:pPr>
        <w:autoSpaceDE w:val="0"/>
        <w:autoSpaceDN w:val="0"/>
        <w:rPr>
          <w:rFonts w:ascii="Times New Roman" w:eastAsia="Times New Roman" w:hAnsi="Times New Roman" w:cs="Times New Roman"/>
          <w:i/>
          <w:kern w:val="0"/>
          <w:lang w:eastAsia="en-US"/>
        </w:rPr>
      </w:pPr>
    </w:p>
    <w:p w:rsidR="00DB5DFE" w:rsidRDefault="00F24EDF">
      <w:pPr>
        <w:autoSpaceDE w:val="0"/>
        <w:autoSpaceDN w:val="0"/>
        <w:ind w:left="113"/>
        <w:rPr>
          <w:rFonts w:ascii="Times New Roman" w:eastAsia="Times New Roman" w:hAnsi="Times New Roman" w:cs="Times New Roman"/>
          <w:kern w:val="0"/>
          <w:lang w:eastAsia="en-US"/>
        </w:rPr>
      </w:pPr>
      <w:r>
        <w:rPr>
          <w:rFonts w:ascii="Times New Roman" w:eastAsia="Times New Roman" w:hAnsi="Times New Roman" w:cs="Times New Roman"/>
          <w:color w:val="231F20"/>
          <w:w w:val="104"/>
          <w:kern w:val="0"/>
          <w:lang w:eastAsia="en-US"/>
        </w:rPr>
        <w:t>Hong Kong, 25 A</w:t>
      </w:r>
      <w:r>
        <w:rPr>
          <w:rFonts w:ascii="Times New Roman" w:eastAsia="宋体" w:hAnsi="Times New Roman" w:cs="Times New Roman"/>
          <w:color w:val="231F20"/>
          <w:w w:val="104"/>
          <w:kern w:val="0"/>
          <w:lang w:eastAsia="en-US"/>
        </w:rPr>
        <w:t>pril</w:t>
      </w:r>
      <w:r>
        <w:rPr>
          <w:rFonts w:ascii="Times New Roman" w:eastAsia="Times New Roman" w:hAnsi="Times New Roman" w:cs="Times New Roman"/>
          <w:color w:val="231F20"/>
          <w:w w:val="104"/>
          <w:kern w:val="0"/>
          <w:lang w:eastAsia="en-US"/>
        </w:rPr>
        <w:t xml:space="preserve"> 2023</w:t>
      </w:r>
    </w:p>
    <w:p w:rsidR="00DB5DFE" w:rsidRDefault="00DB5DFE">
      <w:pPr>
        <w:autoSpaceDE w:val="0"/>
        <w:autoSpaceDN w:val="0"/>
        <w:spacing w:before="8"/>
        <w:rPr>
          <w:rFonts w:ascii="Times New Roman" w:eastAsia="Times New Roman" w:hAnsi="Times New Roman" w:cs="Times New Roman"/>
          <w:kern w:val="0"/>
          <w:lang w:eastAsia="en-US"/>
        </w:rPr>
      </w:pPr>
    </w:p>
    <w:p w:rsidR="00DB5DFE" w:rsidRDefault="00F24EDF">
      <w:pPr>
        <w:autoSpaceDE w:val="0"/>
        <w:autoSpaceDN w:val="0"/>
        <w:ind w:left="113" w:right="103"/>
        <w:jc w:val="both"/>
        <w:rPr>
          <w:rFonts w:ascii="Times New Roman" w:eastAsia="Times New Roman" w:hAnsi="Times New Roman" w:cs="Times New Roman"/>
          <w:i/>
          <w:color w:val="231F20"/>
          <w:spacing w:val="7"/>
          <w:kern w:val="0"/>
          <w:lang w:eastAsia="en-US"/>
        </w:rPr>
      </w:pPr>
      <w:r>
        <w:rPr>
          <w:rFonts w:ascii="Times New Roman" w:eastAsia="Times New Roman" w:hAnsi="Times New Roman" w:cs="Times New Roman"/>
          <w:i/>
          <w:color w:val="231F20"/>
          <w:spacing w:val="3"/>
          <w:kern w:val="0"/>
          <w:lang w:eastAsia="en-US"/>
        </w:rPr>
        <w:t xml:space="preserve">As at </w:t>
      </w:r>
      <w:r>
        <w:rPr>
          <w:rFonts w:ascii="Times New Roman" w:eastAsia="Times New Roman" w:hAnsi="Times New Roman" w:cs="Times New Roman"/>
          <w:i/>
          <w:color w:val="231F20"/>
          <w:spacing w:val="4"/>
          <w:kern w:val="0"/>
          <w:lang w:eastAsia="en-US"/>
        </w:rPr>
        <w:t xml:space="preserve">the </w:t>
      </w:r>
      <w:r>
        <w:rPr>
          <w:rFonts w:ascii="Times New Roman" w:eastAsia="Times New Roman" w:hAnsi="Times New Roman" w:cs="Times New Roman"/>
          <w:i/>
          <w:color w:val="231F20"/>
          <w:spacing w:val="5"/>
          <w:kern w:val="0"/>
          <w:lang w:eastAsia="en-US"/>
        </w:rPr>
        <w:t xml:space="preserve">date </w:t>
      </w:r>
      <w:r>
        <w:rPr>
          <w:rFonts w:ascii="Times New Roman" w:eastAsia="Times New Roman" w:hAnsi="Times New Roman" w:cs="Times New Roman"/>
          <w:i/>
          <w:color w:val="231F20"/>
          <w:spacing w:val="3"/>
          <w:kern w:val="0"/>
          <w:lang w:eastAsia="en-US"/>
        </w:rPr>
        <w:t xml:space="preserve">of </w:t>
      </w:r>
      <w:r>
        <w:rPr>
          <w:rFonts w:ascii="Times New Roman" w:eastAsia="Times New Roman" w:hAnsi="Times New Roman" w:cs="Times New Roman"/>
          <w:i/>
          <w:color w:val="231F20"/>
          <w:spacing w:val="5"/>
          <w:kern w:val="0"/>
          <w:lang w:eastAsia="en-US"/>
        </w:rPr>
        <w:t xml:space="preserve">this </w:t>
      </w:r>
      <w:r>
        <w:rPr>
          <w:rFonts w:ascii="Times New Roman" w:eastAsia="Times New Roman" w:hAnsi="Times New Roman" w:cs="Times New Roman"/>
          <w:i/>
          <w:color w:val="231F20"/>
          <w:spacing w:val="6"/>
          <w:kern w:val="0"/>
          <w:lang w:eastAsia="en-US"/>
        </w:rPr>
        <w:t xml:space="preserve">announcement, </w:t>
      </w:r>
      <w:r>
        <w:rPr>
          <w:rFonts w:ascii="Times New Roman" w:eastAsia="Times New Roman" w:hAnsi="Times New Roman" w:cs="Times New Roman"/>
          <w:i/>
          <w:color w:val="231F20"/>
          <w:spacing w:val="4"/>
          <w:kern w:val="0"/>
          <w:lang w:eastAsia="en-US"/>
        </w:rPr>
        <w:t xml:space="preserve">the </w:t>
      </w:r>
      <w:r>
        <w:rPr>
          <w:rFonts w:ascii="Times New Roman" w:eastAsia="Times New Roman" w:hAnsi="Times New Roman" w:cs="Times New Roman"/>
          <w:i/>
          <w:color w:val="231F20"/>
          <w:spacing w:val="6"/>
          <w:kern w:val="0"/>
          <w:lang w:eastAsia="en-US"/>
        </w:rPr>
        <w:t xml:space="preserve">executive directors </w:t>
      </w:r>
      <w:r>
        <w:rPr>
          <w:rFonts w:ascii="Times New Roman" w:eastAsia="Times New Roman" w:hAnsi="Times New Roman" w:cs="Times New Roman"/>
          <w:i/>
          <w:color w:val="231F20"/>
          <w:spacing w:val="3"/>
          <w:kern w:val="0"/>
          <w:lang w:eastAsia="en-US"/>
        </w:rPr>
        <w:t xml:space="preserve">of </w:t>
      </w:r>
      <w:r>
        <w:rPr>
          <w:rFonts w:ascii="Times New Roman" w:eastAsia="Times New Roman" w:hAnsi="Times New Roman" w:cs="Times New Roman"/>
          <w:i/>
          <w:color w:val="231F20"/>
          <w:spacing w:val="4"/>
          <w:kern w:val="0"/>
          <w:lang w:eastAsia="en-US"/>
        </w:rPr>
        <w:t xml:space="preserve">the </w:t>
      </w:r>
      <w:r>
        <w:rPr>
          <w:rFonts w:ascii="Times New Roman" w:eastAsia="Times New Roman" w:hAnsi="Times New Roman" w:cs="Times New Roman"/>
          <w:i/>
          <w:color w:val="231F20"/>
          <w:spacing w:val="6"/>
          <w:kern w:val="0"/>
          <w:lang w:eastAsia="en-US"/>
        </w:rPr>
        <w:t xml:space="preserve">Company </w:t>
      </w:r>
      <w:r>
        <w:rPr>
          <w:rFonts w:ascii="Times New Roman" w:eastAsia="Times New Roman" w:hAnsi="Times New Roman" w:cs="Times New Roman"/>
          <w:i/>
          <w:color w:val="231F20"/>
          <w:spacing w:val="4"/>
          <w:kern w:val="0"/>
          <w:lang w:eastAsia="en-US"/>
        </w:rPr>
        <w:t xml:space="preserve">are Mr. </w:t>
      </w:r>
      <w:r>
        <w:rPr>
          <w:rFonts w:ascii="Times New Roman" w:eastAsia="Times New Roman" w:hAnsi="Times New Roman" w:cs="Times New Roman"/>
          <w:i/>
          <w:color w:val="231F20"/>
          <w:spacing w:val="7"/>
          <w:kern w:val="0"/>
          <w:lang w:eastAsia="en-US"/>
        </w:rPr>
        <w:t>Wong</w:t>
      </w:r>
      <w:r>
        <w:rPr>
          <w:rFonts w:ascii="Times New Roman" w:eastAsia="Times New Roman" w:hAnsi="Times New Roman" w:cs="Times New Roman"/>
          <w:i/>
          <w:color w:val="231F20"/>
          <w:spacing w:val="74"/>
          <w:kern w:val="0"/>
          <w:lang w:eastAsia="en-US"/>
        </w:rPr>
        <w:t xml:space="preserve"> </w:t>
      </w:r>
      <w:r>
        <w:rPr>
          <w:rFonts w:ascii="Times New Roman" w:eastAsia="Times New Roman" w:hAnsi="Times New Roman" w:cs="Times New Roman"/>
          <w:i/>
          <w:color w:val="231F20"/>
          <w:spacing w:val="4"/>
          <w:kern w:val="0"/>
          <w:lang w:eastAsia="en-US"/>
        </w:rPr>
        <w:t xml:space="preserve">Fun </w:t>
      </w:r>
      <w:r>
        <w:rPr>
          <w:rFonts w:ascii="Times New Roman" w:eastAsia="Times New Roman" w:hAnsi="Times New Roman" w:cs="Times New Roman"/>
          <w:i/>
          <w:color w:val="231F20"/>
          <w:spacing w:val="5"/>
          <w:kern w:val="0"/>
          <w:lang w:eastAsia="en-US"/>
        </w:rPr>
        <w:t xml:space="preserve">Chung, </w:t>
      </w:r>
      <w:r>
        <w:rPr>
          <w:rFonts w:ascii="Times New Roman" w:eastAsia="Times New Roman" w:hAnsi="Times New Roman" w:cs="Times New Roman"/>
          <w:i/>
          <w:color w:val="231F20"/>
          <w:spacing w:val="4"/>
          <w:kern w:val="0"/>
          <w:lang w:eastAsia="en-US"/>
        </w:rPr>
        <w:t xml:space="preserve">Mr. Zou </w:t>
      </w:r>
      <w:r>
        <w:rPr>
          <w:rFonts w:ascii="Times New Roman" w:eastAsia="Times New Roman" w:hAnsi="Times New Roman" w:cs="Times New Roman"/>
          <w:i/>
          <w:color w:val="231F20"/>
          <w:spacing w:val="5"/>
          <w:kern w:val="0"/>
          <w:lang w:eastAsia="en-US"/>
        </w:rPr>
        <w:t xml:space="preserve">Chong, </w:t>
      </w:r>
      <w:r>
        <w:rPr>
          <w:rFonts w:ascii="Times New Roman" w:eastAsia="Times New Roman" w:hAnsi="Times New Roman" w:cs="Times New Roman"/>
          <w:i/>
          <w:color w:val="231F20"/>
          <w:spacing w:val="4"/>
          <w:kern w:val="0"/>
          <w:lang w:eastAsia="en-US"/>
        </w:rPr>
        <w:t xml:space="preserve">Mr. </w:t>
      </w:r>
      <w:proofErr w:type="spellStart"/>
      <w:r>
        <w:rPr>
          <w:rFonts w:ascii="Times New Roman" w:eastAsia="Times New Roman" w:hAnsi="Times New Roman" w:cs="Times New Roman"/>
          <w:i/>
          <w:color w:val="231F20"/>
          <w:spacing w:val="3"/>
          <w:kern w:val="0"/>
          <w:lang w:eastAsia="en-US"/>
        </w:rPr>
        <w:t>Su</w:t>
      </w:r>
      <w:proofErr w:type="spellEnd"/>
      <w:r>
        <w:rPr>
          <w:rFonts w:ascii="Times New Roman" w:eastAsia="Times New Roman" w:hAnsi="Times New Roman" w:cs="Times New Roman"/>
          <w:i/>
          <w:color w:val="231F20"/>
          <w:spacing w:val="3"/>
          <w:kern w:val="0"/>
          <w:lang w:eastAsia="en-US"/>
        </w:rPr>
        <w:t xml:space="preserve"> </w:t>
      </w:r>
      <w:r>
        <w:rPr>
          <w:rFonts w:ascii="Times New Roman" w:eastAsia="Times New Roman" w:hAnsi="Times New Roman" w:cs="Times New Roman"/>
          <w:i/>
          <w:color w:val="231F20"/>
          <w:spacing w:val="5"/>
          <w:kern w:val="0"/>
          <w:lang w:eastAsia="en-US"/>
        </w:rPr>
        <w:t xml:space="preserve">Fang Zhong </w:t>
      </w:r>
      <w:r>
        <w:rPr>
          <w:rFonts w:ascii="Times New Roman" w:eastAsia="Times New Roman" w:hAnsi="Times New Roman" w:cs="Times New Roman"/>
          <w:i/>
          <w:color w:val="231F20"/>
          <w:spacing w:val="4"/>
          <w:kern w:val="0"/>
          <w:lang w:eastAsia="en-US"/>
        </w:rPr>
        <w:t xml:space="preserve">and Mr. </w:t>
      </w:r>
      <w:r>
        <w:rPr>
          <w:rFonts w:ascii="Times New Roman" w:eastAsia="Times New Roman" w:hAnsi="Times New Roman" w:cs="Times New Roman"/>
          <w:i/>
          <w:color w:val="231F20"/>
          <w:spacing w:val="5"/>
          <w:kern w:val="0"/>
          <w:lang w:eastAsia="en-US"/>
        </w:rPr>
        <w:t xml:space="preserve">Cheung </w:t>
      </w:r>
      <w:proofErr w:type="spellStart"/>
      <w:r>
        <w:rPr>
          <w:rFonts w:ascii="Times New Roman" w:eastAsia="Times New Roman" w:hAnsi="Times New Roman" w:cs="Times New Roman"/>
          <w:i/>
          <w:color w:val="231F20"/>
          <w:spacing w:val="5"/>
          <w:kern w:val="0"/>
          <w:lang w:eastAsia="en-US"/>
        </w:rPr>
        <w:t>Chuen</w:t>
      </w:r>
      <w:proofErr w:type="spellEnd"/>
      <w:r>
        <w:rPr>
          <w:rFonts w:ascii="Times New Roman" w:eastAsia="Times New Roman" w:hAnsi="Times New Roman" w:cs="Times New Roman"/>
          <w:i/>
          <w:color w:val="231F20"/>
          <w:spacing w:val="5"/>
          <w:kern w:val="0"/>
          <w:lang w:eastAsia="en-US"/>
        </w:rPr>
        <w:t xml:space="preserve">, </w:t>
      </w:r>
      <w:r>
        <w:rPr>
          <w:rFonts w:ascii="Times New Roman" w:eastAsia="Times New Roman" w:hAnsi="Times New Roman" w:cs="Times New Roman"/>
          <w:i/>
          <w:color w:val="231F20"/>
          <w:spacing w:val="4"/>
          <w:kern w:val="0"/>
          <w:lang w:eastAsia="en-US"/>
        </w:rPr>
        <w:t xml:space="preserve">and </w:t>
      </w:r>
      <w:r>
        <w:rPr>
          <w:rFonts w:ascii="Times New Roman" w:eastAsia="Times New Roman" w:hAnsi="Times New Roman" w:cs="Times New Roman"/>
          <w:i/>
          <w:color w:val="231F20"/>
          <w:spacing w:val="7"/>
          <w:kern w:val="0"/>
          <w:lang w:eastAsia="en-US"/>
        </w:rPr>
        <w:t xml:space="preserve">the </w:t>
      </w:r>
      <w:r>
        <w:rPr>
          <w:rFonts w:ascii="Times New Roman" w:eastAsia="Times New Roman" w:hAnsi="Times New Roman" w:cs="Times New Roman"/>
          <w:i/>
          <w:color w:val="231F20"/>
          <w:spacing w:val="6"/>
          <w:kern w:val="0"/>
          <w:lang w:eastAsia="en-US"/>
        </w:rPr>
        <w:t xml:space="preserve">independent non-executive Directors </w:t>
      </w:r>
      <w:r>
        <w:rPr>
          <w:rFonts w:ascii="Times New Roman" w:eastAsia="Times New Roman" w:hAnsi="Times New Roman" w:cs="Times New Roman"/>
          <w:i/>
          <w:color w:val="231F20"/>
          <w:spacing w:val="3"/>
          <w:kern w:val="0"/>
          <w:lang w:eastAsia="en-US"/>
        </w:rPr>
        <w:t xml:space="preserve">of </w:t>
      </w:r>
      <w:r>
        <w:rPr>
          <w:rFonts w:ascii="Times New Roman" w:eastAsia="Times New Roman" w:hAnsi="Times New Roman" w:cs="Times New Roman"/>
          <w:i/>
          <w:color w:val="231F20"/>
          <w:spacing w:val="4"/>
          <w:kern w:val="0"/>
          <w:lang w:eastAsia="en-US"/>
        </w:rPr>
        <w:t xml:space="preserve">the </w:t>
      </w:r>
      <w:r>
        <w:rPr>
          <w:rFonts w:ascii="Times New Roman" w:eastAsia="Times New Roman" w:hAnsi="Times New Roman" w:cs="Times New Roman"/>
          <w:i/>
          <w:color w:val="231F20"/>
          <w:spacing w:val="6"/>
          <w:kern w:val="0"/>
          <w:lang w:eastAsia="en-US"/>
        </w:rPr>
        <w:t xml:space="preserve">Company </w:t>
      </w:r>
      <w:r>
        <w:rPr>
          <w:rFonts w:ascii="Times New Roman" w:eastAsia="Times New Roman" w:hAnsi="Times New Roman" w:cs="Times New Roman"/>
          <w:i/>
          <w:color w:val="231F20"/>
          <w:spacing w:val="4"/>
          <w:kern w:val="0"/>
          <w:lang w:eastAsia="en-US"/>
        </w:rPr>
        <w:t xml:space="preserve">are Ms. </w:t>
      </w:r>
      <w:r>
        <w:rPr>
          <w:rFonts w:ascii="Times New Roman" w:eastAsia="Times New Roman" w:hAnsi="Times New Roman" w:cs="Times New Roman"/>
          <w:i/>
          <w:color w:val="231F20"/>
          <w:spacing w:val="3"/>
          <w:kern w:val="0"/>
          <w:lang w:eastAsia="en-US"/>
        </w:rPr>
        <w:t xml:space="preserve">Ji </w:t>
      </w:r>
      <w:r>
        <w:rPr>
          <w:rFonts w:ascii="Times New Roman" w:eastAsia="Times New Roman" w:hAnsi="Times New Roman" w:cs="Times New Roman"/>
          <w:i/>
          <w:color w:val="231F20"/>
          <w:spacing w:val="4"/>
          <w:kern w:val="0"/>
          <w:lang w:eastAsia="en-US"/>
        </w:rPr>
        <w:t xml:space="preserve">Qin </w:t>
      </w:r>
      <w:r>
        <w:rPr>
          <w:rFonts w:ascii="Times New Roman" w:eastAsia="Times New Roman" w:hAnsi="Times New Roman" w:cs="Times New Roman"/>
          <w:i/>
          <w:color w:val="231F20"/>
          <w:spacing w:val="5"/>
          <w:kern w:val="0"/>
          <w:lang w:eastAsia="en-US"/>
        </w:rPr>
        <w:t xml:space="preserve">Zhi, </w:t>
      </w:r>
      <w:r>
        <w:rPr>
          <w:rFonts w:ascii="Times New Roman" w:eastAsia="Times New Roman" w:hAnsi="Times New Roman" w:cs="Times New Roman"/>
          <w:i/>
          <w:color w:val="231F20"/>
          <w:spacing w:val="4"/>
          <w:kern w:val="0"/>
          <w:lang w:eastAsia="en-US"/>
        </w:rPr>
        <w:t xml:space="preserve">Dr. </w:t>
      </w:r>
      <w:r>
        <w:rPr>
          <w:rFonts w:ascii="Times New Roman" w:eastAsia="Times New Roman" w:hAnsi="Times New Roman" w:cs="Times New Roman"/>
          <w:i/>
          <w:color w:val="231F20"/>
          <w:spacing w:val="3"/>
          <w:kern w:val="0"/>
          <w:lang w:eastAsia="en-US"/>
        </w:rPr>
        <w:t xml:space="preserve">Hu </w:t>
      </w:r>
      <w:r>
        <w:rPr>
          <w:rFonts w:ascii="Times New Roman" w:eastAsia="Times New Roman" w:hAnsi="Times New Roman" w:cs="Times New Roman"/>
          <w:i/>
          <w:color w:val="231F20"/>
          <w:spacing w:val="4"/>
          <w:kern w:val="0"/>
          <w:lang w:eastAsia="en-US"/>
        </w:rPr>
        <w:t xml:space="preserve">Guo </w:t>
      </w:r>
      <w:r>
        <w:rPr>
          <w:rFonts w:ascii="Times New Roman" w:eastAsia="Times New Roman" w:hAnsi="Times New Roman" w:cs="Times New Roman"/>
          <w:i/>
          <w:color w:val="231F20"/>
          <w:spacing w:val="7"/>
          <w:kern w:val="0"/>
          <w:lang w:eastAsia="en-US"/>
        </w:rPr>
        <w:t>Qing</w:t>
      </w:r>
      <w:r>
        <w:rPr>
          <w:rFonts w:ascii="Times New Roman" w:eastAsia="Times New Roman" w:hAnsi="Times New Roman" w:cs="Times New Roman"/>
          <w:i/>
          <w:color w:val="231F20"/>
          <w:spacing w:val="74"/>
          <w:kern w:val="0"/>
          <w:lang w:eastAsia="en-US"/>
        </w:rPr>
        <w:t xml:space="preserve"> </w:t>
      </w:r>
      <w:r>
        <w:rPr>
          <w:rFonts w:ascii="Times New Roman" w:eastAsia="Times New Roman" w:hAnsi="Times New Roman" w:cs="Times New Roman"/>
          <w:i/>
          <w:color w:val="231F20"/>
          <w:spacing w:val="4"/>
          <w:kern w:val="0"/>
          <w:lang w:eastAsia="en-US"/>
        </w:rPr>
        <w:t xml:space="preserve">and Mr. </w:t>
      </w:r>
      <w:r>
        <w:rPr>
          <w:rFonts w:ascii="Times New Roman" w:eastAsia="Times New Roman" w:hAnsi="Times New Roman" w:cs="Times New Roman"/>
          <w:i/>
          <w:color w:val="231F20"/>
          <w:spacing w:val="5"/>
          <w:kern w:val="0"/>
          <w:lang w:eastAsia="en-US"/>
        </w:rPr>
        <w:t xml:space="preserve">Chan </w:t>
      </w:r>
      <w:r>
        <w:rPr>
          <w:rFonts w:ascii="Times New Roman" w:eastAsia="Times New Roman" w:hAnsi="Times New Roman" w:cs="Times New Roman"/>
          <w:i/>
          <w:color w:val="231F20"/>
          <w:spacing w:val="4"/>
          <w:kern w:val="0"/>
          <w:lang w:eastAsia="en-US"/>
        </w:rPr>
        <w:t>Yuk</w:t>
      </w:r>
      <w:r>
        <w:rPr>
          <w:rFonts w:ascii="Times New Roman" w:eastAsia="Times New Roman" w:hAnsi="Times New Roman" w:cs="Times New Roman"/>
          <w:i/>
          <w:color w:val="231F20"/>
          <w:spacing w:val="18"/>
          <w:kern w:val="0"/>
          <w:lang w:eastAsia="en-US"/>
        </w:rPr>
        <w:t xml:space="preserve"> </w:t>
      </w:r>
      <w:proofErr w:type="spellStart"/>
      <w:r>
        <w:rPr>
          <w:rFonts w:ascii="Times New Roman" w:eastAsia="Times New Roman" w:hAnsi="Times New Roman" w:cs="Times New Roman"/>
          <w:i/>
          <w:color w:val="231F20"/>
          <w:spacing w:val="5"/>
          <w:kern w:val="0"/>
          <w:lang w:eastAsia="en-US"/>
        </w:rPr>
        <w:t>Hiu</w:t>
      </w:r>
      <w:proofErr w:type="spellEnd"/>
      <w:r>
        <w:rPr>
          <w:rFonts w:ascii="Times New Roman" w:eastAsia="Times New Roman" w:hAnsi="Times New Roman" w:cs="Times New Roman"/>
          <w:i/>
          <w:color w:val="231F20"/>
          <w:spacing w:val="5"/>
          <w:kern w:val="0"/>
          <w:lang w:eastAsia="en-US"/>
        </w:rPr>
        <w:t xml:space="preserve">, </w:t>
      </w:r>
      <w:r>
        <w:rPr>
          <w:rFonts w:ascii="Times New Roman" w:eastAsia="Times New Roman" w:hAnsi="Times New Roman" w:cs="Times New Roman"/>
          <w:i/>
          <w:color w:val="231F20"/>
          <w:spacing w:val="7"/>
          <w:kern w:val="0"/>
          <w:lang w:eastAsia="en-US"/>
        </w:rPr>
        <w:t xml:space="preserve">Taylor. </w:t>
      </w:r>
    </w:p>
    <w:sectPr w:rsidR="00DB5DFE">
      <w:footerReference w:type="even" r:id="rId9"/>
      <w:footerReference w:type="default" r:id="rId10"/>
      <w:pgSz w:w="11906" w:h="16838"/>
      <w:pgMar w:top="1440" w:right="1742" w:bottom="1440" w:left="1800" w:header="850" w:footer="9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FAA" w:rsidRDefault="00971FAA">
      <w:r>
        <w:separator/>
      </w:r>
    </w:p>
  </w:endnote>
  <w:endnote w:type="continuationSeparator" w:id="0">
    <w:p w:rsidR="00971FAA" w:rsidRDefault="0097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FE" w:rsidRDefault="00F24EDF">
    <w:pPr>
      <w:pStyle w:val="a5"/>
      <w:framePr w:wrap="around"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p w:rsidR="00DB5DFE" w:rsidRDefault="00DB5D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FE" w:rsidRDefault="00F24EDF">
    <w:pPr>
      <w:pStyle w:val="a5"/>
      <w:framePr w:wrap="around" w:vAnchor="text" w:hAnchor="margin" w:xAlign="center" w:y="1"/>
      <w:rPr>
        <w:rStyle w:val="a6"/>
        <w:rFonts w:ascii="Times New Roman" w:hAnsi="Times New Roman" w:cs="Times New Roman"/>
      </w:rPr>
    </w:pPr>
    <w:r>
      <w:rPr>
        <w:rStyle w:val="a6"/>
        <w:rFonts w:ascii="Times New Roman" w:hAnsi="Times New Roman" w:cs="Times New Roman"/>
      </w:rPr>
      <w:fldChar w:fldCharType="begin"/>
    </w:r>
    <w:r>
      <w:rPr>
        <w:rStyle w:val="a6"/>
        <w:rFonts w:ascii="Times New Roman" w:hAnsi="Times New Roman" w:cs="Times New Roman"/>
      </w:rPr>
      <w:instrText xml:space="preserve"> PAGE </w:instrText>
    </w:r>
    <w:r>
      <w:rPr>
        <w:rStyle w:val="a6"/>
        <w:rFonts w:ascii="Times New Roman" w:hAnsi="Times New Roman" w:cs="Times New Roman"/>
      </w:rPr>
      <w:fldChar w:fldCharType="separate"/>
    </w:r>
    <w:r w:rsidR="004263F7">
      <w:rPr>
        <w:rStyle w:val="a6"/>
        <w:rFonts w:ascii="Times New Roman" w:hAnsi="Times New Roman" w:cs="Times New Roman"/>
        <w:noProof/>
      </w:rPr>
      <w:t>1</w:t>
    </w:r>
    <w:r>
      <w:rPr>
        <w:rStyle w:val="a6"/>
        <w:rFonts w:ascii="Times New Roman" w:hAnsi="Times New Roman" w:cs="Times New Roman"/>
      </w:rPr>
      <w:fldChar w:fldCharType="end"/>
    </w:r>
  </w:p>
  <w:p w:rsidR="00DB5DFE" w:rsidRDefault="00DB5D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FAA" w:rsidRDefault="00971FAA">
      <w:r>
        <w:separator/>
      </w:r>
    </w:p>
  </w:footnote>
  <w:footnote w:type="continuationSeparator" w:id="0">
    <w:p w:rsidR="00971FAA" w:rsidRDefault="0097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BC0"/>
    <w:multiLevelType w:val="hybridMultilevel"/>
    <w:tmpl w:val="C2A47FDC"/>
    <w:lvl w:ilvl="0" w:tplc="A1E2C9F8">
      <w:start w:val="1"/>
      <w:numFmt w:val="upperLetter"/>
      <w:lvlRestart w:val="0"/>
      <w:pStyle w:val="3"/>
      <w:lvlText w:val="3%1."/>
      <w:lvlJc w:val="left"/>
      <w:pPr>
        <w:tabs>
          <w:tab w:val="num" w:pos="0"/>
        </w:tabs>
        <w:ind w:left="720" w:hanging="360"/>
      </w:pPr>
      <w:rPr>
        <w:rFonts w:hint="eastAsia"/>
      </w:rPr>
    </w:lvl>
    <w:lvl w:ilvl="1" w:tplc="E174AA70">
      <w:start w:val="1"/>
      <w:numFmt w:val="lowerLetter"/>
      <w:lvlText w:val="%2."/>
      <w:lvlJc w:val="left"/>
      <w:pPr>
        <w:tabs>
          <w:tab w:val="num" w:pos="0"/>
        </w:tabs>
        <w:ind w:left="1440" w:hanging="360"/>
      </w:pPr>
    </w:lvl>
    <w:lvl w:ilvl="2" w:tplc="1FFA1F58">
      <w:start w:val="1"/>
      <w:numFmt w:val="lowerRoman"/>
      <w:lvlText w:val="%3."/>
      <w:lvlJc w:val="right"/>
      <w:pPr>
        <w:tabs>
          <w:tab w:val="num" w:pos="0"/>
        </w:tabs>
        <w:ind w:left="2160" w:hanging="180"/>
      </w:pPr>
    </w:lvl>
    <w:lvl w:ilvl="3" w:tplc="F73EBD18">
      <w:start w:val="1"/>
      <w:numFmt w:val="decimal"/>
      <w:lvlText w:val="%4."/>
      <w:lvlJc w:val="left"/>
      <w:pPr>
        <w:tabs>
          <w:tab w:val="num" w:pos="0"/>
        </w:tabs>
        <w:ind w:left="2880" w:hanging="360"/>
      </w:pPr>
    </w:lvl>
    <w:lvl w:ilvl="4" w:tplc="CF5EBE76">
      <w:start w:val="1"/>
      <w:numFmt w:val="lowerLetter"/>
      <w:lvlText w:val="%5."/>
      <w:lvlJc w:val="left"/>
      <w:pPr>
        <w:tabs>
          <w:tab w:val="num" w:pos="0"/>
        </w:tabs>
        <w:ind w:left="3600" w:hanging="360"/>
      </w:pPr>
    </w:lvl>
    <w:lvl w:ilvl="5" w:tplc="460EEFDE">
      <w:start w:val="1"/>
      <w:numFmt w:val="lowerRoman"/>
      <w:lvlText w:val="%6."/>
      <w:lvlJc w:val="right"/>
      <w:pPr>
        <w:tabs>
          <w:tab w:val="num" w:pos="0"/>
        </w:tabs>
        <w:ind w:left="4320" w:hanging="180"/>
      </w:pPr>
    </w:lvl>
    <w:lvl w:ilvl="6" w:tplc="B4CCA9E0">
      <w:start w:val="1"/>
      <w:numFmt w:val="decimal"/>
      <w:lvlText w:val="%7."/>
      <w:lvlJc w:val="left"/>
      <w:pPr>
        <w:tabs>
          <w:tab w:val="num" w:pos="0"/>
        </w:tabs>
        <w:ind w:left="5040" w:hanging="360"/>
      </w:pPr>
    </w:lvl>
    <w:lvl w:ilvl="7" w:tplc="7222FE5A">
      <w:start w:val="1"/>
      <w:numFmt w:val="lowerLetter"/>
      <w:lvlText w:val="%8."/>
      <w:lvlJc w:val="left"/>
      <w:pPr>
        <w:tabs>
          <w:tab w:val="num" w:pos="0"/>
        </w:tabs>
        <w:ind w:left="5760" w:hanging="360"/>
      </w:pPr>
    </w:lvl>
    <w:lvl w:ilvl="8" w:tplc="542CB7E6">
      <w:start w:val="1"/>
      <w:numFmt w:val="lowerRoman"/>
      <w:lvlText w:val="%9."/>
      <w:lvlJc w:val="right"/>
      <w:pPr>
        <w:tabs>
          <w:tab w:val="num" w:pos="0"/>
        </w:tabs>
        <w:ind w:left="6480" w:hanging="180"/>
      </w:pPr>
    </w:lvl>
  </w:abstractNum>
  <w:abstractNum w:abstractNumId="1" w15:restartNumberingAfterBreak="0">
    <w:nsid w:val="21B02268"/>
    <w:multiLevelType w:val="hybridMultilevel"/>
    <w:tmpl w:val="90360338"/>
    <w:lvl w:ilvl="0" w:tplc="6302A2F4">
      <w:start w:val="1"/>
      <w:numFmt w:val="lowerLetter"/>
      <w:lvlRestart w:val="0"/>
      <w:lvlText w:val="(%1)"/>
      <w:lvlJc w:val="left"/>
      <w:pPr>
        <w:tabs>
          <w:tab w:val="num" w:pos="0"/>
        </w:tabs>
        <w:ind w:left="720" w:hanging="360"/>
      </w:pPr>
      <w:rPr>
        <w:rFonts w:hint="default"/>
      </w:rPr>
    </w:lvl>
    <w:lvl w:ilvl="1" w:tplc="13AE746C">
      <w:start w:val="1"/>
      <w:numFmt w:val="lowerLetter"/>
      <w:lvlText w:val="%2."/>
      <w:lvlJc w:val="left"/>
      <w:pPr>
        <w:tabs>
          <w:tab w:val="num" w:pos="0"/>
        </w:tabs>
        <w:ind w:left="1440" w:hanging="360"/>
      </w:pPr>
    </w:lvl>
    <w:lvl w:ilvl="2" w:tplc="F1DC1D8E">
      <w:start w:val="1"/>
      <w:numFmt w:val="lowerRoman"/>
      <w:lvlText w:val="%3."/>
      <w:lvlJc w:val="right"/>
      <w:pPr>
        <w:tabs>
          <w:tab w:val="num" w:pos="0"/>
        </w:tabs>
        <w:ind w:left="2160" w:hanging="180"/>
      </w:pPr>
    </w:lvl>
    <w:lvl w:ilvl="3" w:tplc="147EAC64">
      <w:start w:val="1"/>
      <w:numFmt w:val="decimal"/>
      <w:lvlText w:val="%4."/>
      <w:lvlJc w:val="left"/>
      <w:pPr>
        <w:tabs>
          <w:tab w:val="num" w:pos="0"/>
        </w:tabs>
        <w:ind w:left="2880" w:hanging="360"/>
      </w:pPr>
    </w:lvl>
    <w:lvl w:ilvl="4" w:tplc="1F08002C">
      <w:start w:val="1"/>
      <w:numFmt w:val="lowerLetter"/>
      <w:lvlText w:val="%5."/>
      <w:lvlJc w:val="left"/>
      <w:pPr>
        <w:tabs>
          <w:tab w:val="num" w:pos="0"/>
        </w:tabs>
        <w:ind w:left="3600" w:hanging="360"/>
      </w:pPr>
    </w:lvl>
    <w:lvl w:ilvl="5" w:tplc="DD5A4846">
      <w:start w:val="1"/>
      <w:numFmt w:val="lowerRoman"/>
      <w:lvlText w:val="%6."/>
      <w:lvlJc w:val="right"/>
      <w:pPr>
        <w:tabs>
          <w:tab w:val="num" w:pos="0"/>
        </w:tabs>
        <w:ind w:left="4320" w:hanging="180"/>
      </w:pPr>
    </w:lvl>
    <w:lvl w:ilvl="6" w:tplc="F25C3702">
      <w:start w:val="1"/>
      <w:numFmt w:val="decimal"/>
      <w:lvlText w:val="%7."/>
      <w:lvlJc w:val="left"/>
      <w:pPr>
        <w:tabs>
          <w:tab w:val="num" w:pos="0"/>
        </w:tabs>
        <w:ind w:left="5040" w:hanging="360"/>
      </w:pPr>
    </w:lvl>
    <w:lvl w:ilvl="7" w:tplc="91E216C0">
      <w:start w:val="1"/>
      <w:numFmt w:val="lowerLetter"/>
      <w:lvlText w:val="%8."/>
      <w:lvlJc w:val="left"/>
      <w:pPr>
        <w:tabs>
          <w:tab w:val="num" w:pos="0"/>
        </w:tabs>
        <w:ind w:left="5760" w:hanging="360"/>
      </w:pPr>
    </w:lvl>
    <w:lvl w:ilvl="8" w:tplc="24B00062">
      <w:start w:val="1"/>
      <w:numFmt w:val="lowerRoman"/>
      <w:lvlText w:val="%9."/>
      <w:lvlJc w:val="right"/>
      <w:pPr>
        <w:tabs>
          <w:tab w:val="num" w:pos="0"/>
        </w:tabs>
        <w:ind w:left="6480" w:hanging="180"/>
      </w:pPr>
    </w:lvl>
  </w:abstractNum>
  <w:abstractNum w:abstractNumId="2" w15:restartNumberingAfterBreak="0">
    <w:nsid w:val="33EE6157"/>
    <w:multiLevelType w:val="hybridMultilevel"/>
    <w:tmpl w:val="023AAFC8"/>
    <w:lvl w:ilvl="0" w:tplc="9C4EDB44">
      <w:start w:val="1"/>
      <w:numFmt w:val="lowerLetter"/>
      <w:lvlRestart w:val="0"/>
      <w:lvlText w:val="(%1)"/>
      <w:lvlJc w:val="left"/>
      <w:pPr>
        <w:tabs>
          <w:tab w:val="num" w:pos="0"/>
        </w:tabs>
        <w:ind w:left="480" w:hanging="480"/>
      </w:pPr>
      <w:rPr>
        <w:rFonts w:hint="default"/>
        <w:color w:val="auto"/>
      </w:rPr>
    </w:lvl>
    <w:lvl w:ilvl="1" w:tplc="4ECC7EAE">
      <w:start w:val="1"/>
      <w:numFmt w:val="bullet"/>
      <w:lvlText w:val=""/>
      <w:lvlJc w:val="left"/>
      <w:pPr>
        <w:tabs>
          <w:tab w:val="num" w:pos="0"/>
        </w:tabs>
        <w:ind w:left="960" w:hanging="480"/>
      </w:pPr>
      <w:rPr>
        <w:rFonts w:ascii="Wingdings" w:hAnsi="Wingdings" w:hint="default"/>
      </w:rPr>
    </w:lvl>
    <w:lvl w:ilvl="2" w:tplc="66067C86">
      <w:start w:val="1"/>
      <w:numFmt w:val="bullet"/>
      <w:lvlText w:val=""/>
      <w:lvlJc w:val="left"/>
      <w:pPr>
        <w:tabs>
          <w:tab w:val="num" w:pos="0"/>
        </w:tabs>
        <w:ind w:left="1440" w:hanging="480"/>
      </w:pPr>
      <w:rPr>
        <w:rFonts w:ascii="Wingdings" w:hAnsi="Wingdings" w:hint="default"/>
      </w:rPr>
    </w:lvl>
    <w:lvl w:ilvl="3" w:tplc="822E94C8">
      <w:start w:val="1"/>
      <w:numFmt w:val="bullet"/>
      <w:lvlText w:val=""/>
      <w:lvlJc w:val="left"/>
      <w:pPr>
        <w:tabs>
          <w:tab w:val="num" w:pos="0"/>
        </w:tabs>
        <w:ind w:left="1920" w:hanging="480"/>
      </w:pPr>
      <w:rPr>
        <w:rFonts w:ascii="Wingdings" w:hAnsi="Wingdings" w:hint="default"/>
      </w:rPr>
    </w:lvl>
    <w:lvl w:ilvl="4" w:tplc="243A2564">
      <w:start w:val="1"/>
      <w:numFmt w:val="bullet"/>
      <w:lvlText w:val=""/>
      <w:lvlJc w:val="left"/>
      <w:pPr>
        <w:tabs>
          <w:tab w:val="num" w:pos="0"/>
        </w:tabs>
        <w:ind w:left="2400" w:hanging="480"/>
      </w:pPr>
      <w:rPr>
        <w:rFonts w:ascii="Wingdings" w:hAnsi="Wingdings" w:hint="default"/>
      </w:rPr>
    </w:lvl>
    <w:lvl w:ilvl="5" w:tplc="DFB490B6">
      <w:start w:val="1"/>
      <w:numFmt w:val="bullet"/>
      <w:lvlText w:val=""/>
      <w:lvlJc w:val="left"/>
      <w:pPr>
        <w:tabs>
          <w:tab w:val="num" w:pos="0"/>
        </w:tabs>
        <w:ind w:left="2880" w:hanging="480"/>
      </w:pPr>
      <w:rPr>
        <w:rFonts w:ascii="Wingdings" w:hAnsi="Wingdings" w:hint="default"/>
      </w:rPr>
    </w:lvl>
    <w:lvl w:ilvl="6" w:tplc="310E5CB8">
      <w:start w:val="1"/>
      <w:numFmt w:val="bullet"/>
      <w:lvlText w:val=""/>
      <w:lvlJc w:val="left"/>
      <w:pPr>
        <w:tabs>
          <w:tab w:val="num" w:pos="0"/>
        </w:tabs>
        <w:ind w:left="3360" w:hanging="480"/>
      </w:pPr>
      <w:rPr>
        <w:rFonts w:ascii="Wingdings" w:hAnsi="Wingdings" w:hint="default"/>
      </w:rPr>
    </w:lvl>
    <w:lvl w:ilvl="7" w:tplc="940ABD08">
      <w:start w:val="1"/>
      <w:numFmt w:val="bullet"/>
      <w:lvlText w:val=""/>
      <w:lvlJc w:val="left"/>
      <w:pPr>
        <w:tabs>
          <w:tab w:val="num" w:pos="0"/>
        </w:tabs>
        <w:ind w:left="3840" w:hanging="480"/>
      </w:pPr>
      <w:rPr>
        <w:rFonts w:ascii="Wingdings" w:hAnsi="Wingdings" w:hint="default"/>
      </w:rPr>
    </w:lvl>
    <w:lvl w:ilvl="8" w:tplc="87AEAA02">
      <w:start w:val="1"/>
      <w:numFmt w:val="bullet"/>
      <w:lvlText w:val=""/>
      <w:lvlJc w:val="left"/>
      <w:pPr>
        <w:tabs>
          <w:tab w:val="num" w:pos="0"/>
        </w:tabs>
        <w:ind w:left="4320" w:hanging="480"/>
      </w:pPr>
      <w:rPr>
        <w:rFonts w:ascii="Wingdings" w:hAnsi="Wingdings" w:hint="default"/>
      </w:rPr>
    </w:lvl>
  </w:abstractNum>
  <w:abstractNum w:abstractNumId="3" w15:restartNumberingAfterBreak="0">
    <w:nsid w:val="3D44198A"/>
    <w:multiLevelType w:val="hybridMultilevel"/>
    <w:tmpl w:val="5798D9CA"/>
    <w:lvl w:ilvl="0" w:tplc="58623EDE">
      <w:start w:val="1"/>
      <w:numFmt w:val="decimal"/>
      <w:lvlRestart w:val="0"/>
      <w:pStyle w:val="1"/>
      <w:lvlText w:val="%1."/>
      <w:lvlJc w:val="left"/>
      <w:pPr>
        <w:tabs>
          <w:tab w:val="num" w:pos="0"/>
        </w:tabs>
        <w:ind w:left="720" w:hanging="360"/>
      </w:pPr>
      <w:rPr>
        <w:rFonts w:hint="eastAsia"/>
      </w:rPr>
    </w:lvl>
    <w:lvl w:ilvl="1" w:tplc="47A4EFEA">
      <w:start w:val="1"/>
      <w:numFmt w:val="lowerLetter"/>
      <w:lvlText w:val="%2."/>
      <w:lvlJc w:val="left"/>
      <w:pPr>
        <w:tabs>
          <w:tab w:val="num" w:pos="0"/>
        </w:tabs>
        <w:ind w:left="1440" w:hanging="360"/>
      </w:pPr>
    </w:lvl>
    <w:lvl w:ilvl="2" w:tplc="83E452D4">
      <w:start w:val="1"/>
      <w:numFmt w:val="lowerRoman"/>
      <w:lvlText w:val="%3."/>
      <w:lvlJc w:val="right"/>
      <w:pPr>
        <w:tabs>
          <w:tab w:val="num" w:pos="0"/>
        </w:tabs>
        <w:ind w:left="2160" w:hanging="180"/>
      </w:pPr>
    </w:lvl>
    <w:lvl w:ilvl="3" w:tplc="05B0B048">
      <w:start w:val="1"/>
      <w:numFmt w:val="decimal"/>
      <w:lvlText w:val="%4."/>
      <w:lvlJc w:val="left"/>
      <w:pPr>
        <w:tabs>
          <w:tab w:val="num" w:pos="0"/>
        </w:tabs>
        <w:ind w:left="2880" w:hanging="360"/>
      </w:pPr>
    </w:lvl>
    <w:lvl w:ilvl="4" w:tplc="3C1EDD12">
      <w:start w:val="1"/>
      <w:numFmt w:val="lowerLetter"/>
      <w:lvlText w:val="%5."/>
      <w:lvlJc w:val="left"/>
      <w:pPr>
        <w:tabs>
          <w:tab w:val="num" w:pos="0"/>
        </w:tabs>
        <w:ind w:left="3600" w:hanging="360"/>
      </w:pPr>
    </w:lvl>
    <w:lvl w:ilvl="5" w:tplc="98964DA4">
      <w:start w:val="1"/>
      <w:numFmt w:val="lowerRoman"/>
      <w:lvlText w:val="%6."/>
      <w:lvlJc w:val="right"/>
      <w:pPr>
        <w:tabs>
          <w:tab w:val="num" w:pos="0"/>
        </w:tabs>
        <w:ind w:left="4320" w:hanging="180"/>
      </w:pPr>
    </w:lvl>
    <w:lvl w:ilvl="6" w:tplc="07B4E3A8">
      <w:start w:val="1"/>
      <w:numFmt w:val="decimal"/>
      <w:lvlText w:val="%7."/>
      <w:lvlJc w:val="left"/>
      <w:pPr>
        <w:tabs>
          <w:tab w:val="num" w:pos="0"/>
        </w:tabs>
        <w:ind w:left="5040" w:hanging="360"/>
      </w:pPr>
    </w:lvl>
    <w:lvl w:ilvl="7" w:tplc="583099AC">
      <w:start w:val="1"/>
      <w:numFmt w:val="lowerLetter"/>
      <w:lvlText w:val="%8."/>
      <w:lvlJc w:val="left"/>
      <w:pPr>
        <w:tabs>
          <w:tab w:val="num" w:pos="0"/>
        </w:tabs>
        <w:ind w:left="5760" w:hanging="360"/>
      </w:pPr>
    </w:lvl>
    <w:lvl w:ilvl="8" w:tplc="F1248E5E">
      <w:start w:val="1"/>
      <w:numFmt w:val="lowerRoman"/>
      <w:lvlText w:val="%9."/>
      <w:lvlJc w:val="right"/>
      <w:pPr>
        <w:tabs>
          <w:tab w:val="num" w:pos="0"/>
        </w:tabs>
        <w:ind w:left="6480" w:hanging="180"/>
      </w:pPr>
    </w:lvl>
  </w:abstractNum>
  <w:abstractNum w:abstractNumId="4" w15:restartNumberingAfterBreak="0">
    <w:nsid w:val="68EE4AE4"/>
    <w:multiLevelType w:val="hybridMultilevel"/>
    <w:tmpl w:val="F8069E8C"/>
    <w:lvl w:ilvl="0" w:tplc="AAEA529A">
      <w:start w:val="1"/>
      <w:numFmt w:val="lowerLetter"/>
      <w:lvlRestart w:val="0"/>
      <w:lvlText w:val="(%1)"/>
      <w:lvlJc w:val="left"/>
      <w:pPr>
        <w:tabs>
          <w:tab w:val="num" w:pos="0"/>
        </w:tabs>
        <w:ind w:left="1080" w:hanging="720"/>
      </w:pPr>
      <w:rPr>
        <w:rFonts w:hint="default"/>
        <w:b w:val="0"/>
        <w:u w:val="none"/>
      </w:rPr>
    </w:lvl>
    <w:lvl w:ilvl="1" w:tplc="68B4628C">
      <w:start w:val="1"/>
      <w:numFmt w:val="lowerLetter"/>
      <w:lvlText w:val="%2."/>
      <w:lvlJc w:val="left"/>
      <w:pPr>
        <w:tabs>
          <w:tab w:val="num" w:pos="0"/>
        </w:tabs>
        <w:ind w:left="1440" w:hanging="360"/>
      </w:pPr>
    </w:lvl>
    <w:lvl w:ilvl="2" w:tplc="F6A2365E">
      <w:start w:val="1"/>
      <w:numFmt w:val="lowerRoman"/>
      <w:lvlText w:val="%3."/>
      <w:lvlJc w:val="right"/>
      <w:pPr>
        <w:tabs>
          <w:tab w:val="num" w:pos="0"/>
        </w:tabs>
        <w:ind w:left="2160" w:hanging="180"/>
      </w:pPr>
    </w:lvl>
    <w:lvl w:ilvl="3" w:tplc="FCDA02CC">
      <w:start w:val="1"/>
      <w:numFmt w:val="decimal"/>
      <w:lvlText w:val="%4."/>
      <w:lvlJc w:val="left"/>
      <w:pPr>
        <w:tabs>
          <w:tab w:val="num" w:pos="0"/>
        </w:tabs>
        <w:ind w:left="2880" w:hanging="360"/>
      </w:pPr>
    </w:lvl>
    <w:lvl w:ilvl="4" w:tplc="8E18A416">
      <w:start w:val="1"/>
      <w:numFmt w:val="lowerLetter"/>
      <w:lvlText w:val="%5."/>
      <w:lvlJc w:val="left"/>
      <w:pPr>
        <w:tabs>
          <w:tab w:val="num" w:pos="0"/>
        </w:tabs>
        <w:ind w:left="3600" w:hanging="360"/>
      </w:pPr>
    </w:lvl>
    <w:lvl w:ilvl="5" w:tplc="5F0814CE">
      <w:start w:val="1"/>
      <w:numFmt w:val="lowerRoman"/>
      <w:lvlText w:val="%6."/>
      <w:lvlJc w:val="right"/>
      <w:pPr>
        <w:tabs>
          <w:tab w:val="num" w:pos="0"/>
        </w:tabs>
        <w:ind w:left="4320" w:hanging="180"/>
      </w:pPr>
    </w:lvl>
    <w:lvl w:ilvl="6" w:tplc="79C2622A">
      <w:start w:val="1"/>
      <w:numFmt w:val="decimal"/>
      <w:lvlText w:val="%7."/>
      <w:lvlJc w:val="left"/>
      <w:pPr>
        <w:tabs>
          <w:tab w:val="num" w:pos="0"/>
        </w:tabs>
        <w:ind w:left="5040" w:hanging="360"/>
      </w:pPr>
    </w:lvl>
    <w:lvl w:ilvl="7" w:tplc="7BE6B16E">
      <w:start w:val="1"/>
      <w:numFmt w:val="lowerLetter"/>
      <w:lvlText w:val="%8."/>
      <w:lvlJc w:val="left"/>
      <w:pPr>
        <w:tabs>
          <w:tab w:val="num" w:pos="0"/>
        </w:tabs>
        <w:ind w:left="5760" w:hanging="360"/>
      </w:pPr>
    </w:lvl>
    <w:lvl w:ilvl="8" w:tplc="35463722">
      <w:start w:val="1"/>
      <w:numFmt w:val="lowerRoman"/>
      <w:lvlText w:val="%9."/>
      <w:lvlJc w:val="right"/>
      <w:pPr>
        <w:tabs>
          <w:tab w:val="num" w:pos="0"/>
        </w:tabs>
        <w:ind w:left="6480" w:hanging="180"/>
      </w:pPr>
    </w:lvl>
  </w:abstractNum>
  <w:abstractNum w:abstractNumId="5" w15:restartNumberingAfterBreak="0">
    <w:nsid w:val="719F24FB"/>
    <w:multiLevelType w:val="hybridMultilevel"/>
    <w:tmpl w:val="BB344426"/>
    <w:lvl w:ilvl="0" w:tplc="E7A8D08A">
      <w:start w:val="1"/>
      <w:numFmt w:val="upperLetter"/>
      <w:lvlRestart w:val="0"/>
      <w:pStyle w:val="2"/>
      <w:lvlText w:val="2%1."/>
      <w:lvlJc w:val="left"/>
      <w:pPr>
        <w:tabs>
          <w:tab w:val="num" w:pos="0"/>
        </w:tabs>
        <w:ind w:left="720" w:hanging="360"/>
      </w:pPr>
      <w:rPr>
        <w:rFonts w:hint="eastAsia"/>
      </w:rPr>
    </w:lvl>
    <w:lvl w:ilvl="1" w:tplc="C4E88386">
      <w:start w:val="1"/>
      <w:numFmt w:val="lowerLetter"/>
      <w:lvlText w:val="%2."/>
      <w:lvlJc w:val="left"/>
      <w:pPr>
        <w:tabs>
          <w:tab w:val="num" w:pos="0"/>
        </w:tabs>
        <w:ind w:left="1440" w:hanging="360"/>
      </w:pPr>
    </w:lvl>
    <w:lvl w:ilvl="2" w:tplc="0D805F60">
      <w:start w:val="1"/>
      <w:numFmt w:val="lowerRoman"/>
      <w:lvlText w:val="%3."/>
      <w:lvlJc w:val="right"/>
      <w:pPr>
        <w:tabs>
          <w:tab w:val="num" w:pos="0"/>
        </w:tabs>
        <w:ind w:left="2160" w:hanging="180"/>
      </w:pPr>
    </w:lvl>
    <w:lvl w:ilvl="3" w:tplc="52B44E0A">
      <w:start w:val="1"/>
      <w:numFmt w:val="decimal"/>
      <w:lvlText w:val="%4."/>
      <w:lvlJc w:val="left"/>
      <w:pPr>
        <w:tabs>
          <w:tab w:val="num" w:pos="0"/>
        </w:tabs>
        <w:ind w:left="2880" w:hanging="360"/>
      </w:pPr>
    </w:lvl>
    <w:lvl w:ilvl="4" w:tplc="612C38B2">
      <w:start w:val="1"/>
      <w:numFmt w:val="lowerLetter"/>
      <w:lvlText w:val="%5."/>
      <w:lvlJc w:val="left"/>
      <w:pPr>
        <w:tabs>
          <w:tab w:val="num" w:pos="0"/>
        </w:tabs>
        <w:ind w:left="3600" w:hanging="360"/>
      </w:pPr>
    </w:lvl>
    <w:lvl w:ilvl="5" w:tplc="7C20667A">
      <w:start w:val="1"/>
      <w:numFmt w:val="lowerRoman"/>
      <w:lvlText w:val="%6."/>
      <w:lvlJc w:val="right"/>
      <w:pPr>
        <w:tabs>
          <w:tab w:val="num" w:pos="0"/>
        </w:tabs>
        <w:ind w:left="4320" w:hanging="180"/>
      </w:pPr>
    </w:lvl>
    <w:lvl w:ilvl="6" w:tplc="AE2204C6">
      <w:start w:val="1"/>
      <w:numFmt w:val="decimal"/>
      <w:lvlText w:val="%7."/>
      <w:lvlJc w:val="left"/>
      <w:pPr>
        <w:tabs>
          <w:tab w:val="num" w:pos="0"/>
        </w:tabs>
        <w:ind w:left="5040" w:hanging="360"/>
      </w:pPr>
    </w:lvl>
    <w:lvl w:ilvl="7" w:tplc="6D8AA282">
      <w:start w:val="1"/>
      <w:numFmt w:val="lowerLetter"/>
      <w:lvlText w:val="%8."/>
      <w:lvlJc w:val="left"/>
      <w:pPr>
        <w:tabs>
          <w:tab w:val="num" w:pos="0"/>
        </w:tabs>
        <w:ind w:left="5760" w:hanging="360"/>
      </w:pPr>
    </w:lvl>
    <w:lvl w:ilvl="8" w:tplc="EB8E4B1C">
      <w:start w:val="1"/>
      <w:numFmt w:val="lowerRoman"/>
      <w:lvlText w:val="%9."/>
      <w:lvlJc w:val="right"/>
      <w:pPr>
        <w:tabs>
          <w:tab w:val="num" w:pos="0"/>
        </w:tabs>
        <w:ind w:left="6480" w:hanging="180"/>
      </w:pPr>
    </w:lvl>
  </w:abstractNum>
  <w:abstractNum w:abstractNumId="6" w15:restartNumberingAfterBreak="0">
    <w:nsid w:val="7977262B"/>
    <w:multiLevelType w:val="hybridMultilevel"/>
    <w:tmpl w:val="93E07692"/>
    <w:lvl w:ilvl="0" w:tplc="19C4EC78">
      <w:start w:val="1"/>
      <w:numFmt w:val="upperLetter"/>
      <w:lvlRestart w:val="0"/>
      <w:pStyle w:val="4"/>
      <w:lvlText w:val="4%1."/>
      <w:lvlJc w:val="left"/>
      <w:pPr>
        <w:tabs>
          <w:tab w:val="num" w:pos="0"/>
        </w:tabs>
        <w:ind w:left="720" w:hanging="360"/>
      </w:pPr>
      <w:rPr>
        <w:rFonts w:hint="eastAsia"/>
        <w:b w:val="0"/>
      </w:rPr>
    </w:lvl>
    <w:lvl w:ilvl="1" w:tplc="67E8AB22">
      <w:start w:val="1"/>
      <w:numFmt w:val="lowerLetter"/>
      <w:lvlText w:val="%2."/>
      <w:lvlJc w:val="left"/>
      <w:pPr>
        <w:tabs>
          <w:tab w:val="num" w:pos="0"/>
        </w:tabs>
        <w:ind w:left="1440" w:hanging="360"/>
      </w:pPr>
    </w:lvl>
    <w:lvl w:ilvl="2" w:tplc="DABC050A">
      <w:start w:val="1"/>
      <w:numFmt w:val="lowerRoman"/>
      <w:lvlText w:val="%3."/>
      <w:lvlJc w:val="right"/>
      <w:pPr>
        <w:tabs>
          <w:tab w:val="num" w:pos="0"/>
        </w:tabs>
        <w:ind w:left="2160" w:hanging="180"/>
      </w:pPr>
    </w:lvl>
    <w:lvl w:ilvl="3" w:tplc="ABAA25B0">
      <w:start w:val="1"/>
      <w:numFmt w:val="decimal"/>
      <w:lvlText w:val="%4."/>
      <w:lvlJc w:val="left"/>
      <w:pPr>
        <w:tabs>
          <w:tab w:val="num" w:pos="0"/>
        </w:tabs>
        <w:ind w:left="2880" w:hanging="360"/>
      </w:pPr>
    </w:lvl>
    <w:lvl w:ilvl="4" w:tplc="5DB43EC6">
      <w:start w:val="1"/>
      <w:numFmt w:val="lowerLetter"/>
      <w:lvlText w:val="%5."/>
      <w:lvlJc w:val="left"/>
      <w:pPr>
        <w:tabs>
          <w:tab w:val="num" w:pos="0"/>
        </w:tabs>
        <w:ind w:left="3600" w:hanging="360"/>
      </w:pPr>
    </w:lvl>
    <w:lvl w:ilvl="5" w:tplc="C360D02E">
      <w:start w:val="1"/>
      <w:numFmt w:val="lowerRoman"/>
      <w:lvlText w:val="%6."/>
      <w:lvlJc w:val="right"/>
      <w:pPr>
        <w:tabs>
          <w:tab w:val="num" w:pos="0"/>
        </w:tabs>
        <w:ind w:left="4320" w:hanging="180"/>
      </w:pPr>
    </w:lvl>
    <w:lvl w:ilvl="6" w:tplc="1CD8F1C4">
      <w:start w:val="1"/>
      <w:numFmt w:val="decimal"/>
      <w:lvlText w:val="%7."/>
      <w:lvlJc w:val="left"/>
      <w:pPr>
        <w:tabs>
          <w:tab w:val="num" w:pos="0"/>
        </w:tabs>
        <w:ind w:left="5040" w:hanging="360"/>
      </w:pPr>
    </w:lvl>
    <w:lvl w:ilvl="7" w:tplc="6F4AC94A">
      <w:start w:val="1"/>
      <w:numFmt w:val="lowerLetter"/>
      <w:lvlText w:val="%8."/>
      <w:lvlJc w:val="left"/>
      <w:pPr>
        <w:tabs>
          <w:tab w:val="num" w:pos="0"/>
        </w:tabs>
        <w:ind w:left="5760" w:hanging="360"/>
      </w:pPr>
    </w:lvl>
    <w:lvl w:ilvl="8" w:tplc="CCC8BED6">
      <w:start w:val="1"/>
      <w:numFmt w:val="lowerRoman"/>
      <w:lvlText w:val="%9."/>
      <w:lvlJc w:val="right"/>
      <w:pPr>
        <w:tabs>
          <w:tab w:val="num" w:pos="0"/>
        </w:tabs>
        <w:ind w:left="6480" w:hanging="180"/>
      </w:pPr>
    </w:lvl>
  </w:abstractNum>
  <w:num w:numId="1" w16cid:durableId="184559753">
    <w:abstractNumId w:val="2"/>
  </w:num>
  <w:num w:numId="2" w16cid:durableId="78868080">
    <w:abstractNumId w:val="4"/>
  </w:num>
  <w:num w:numId="3" w16cid:durableId="480316025">
    <w:abstractNumId w:val="1"/>
  </w:num>
  <w:num w:numId="4" w16cid:durableId="1358504416">
    <w:abstractNumId w:val="3"/>
  </w:num>
  <w:num w:numId="5" w16cid:durableId="742606586">
    <w:abstractNumId w:val="5"/>
  </w:num>
  <w:num w:numId="6" w16cid:durableId="1073773357">
    <w:abstractNumId w:val="0"/>
  </w:num>
  <w:num w:numId="7" w16cid:durableId="1870410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FE"/>
    <w:rsid w:val="001A78D9"/>
    <w:rsid w:val="003E5C4D"/>
    <w:rsid w:val="004263F7"/>
    <w:rsid w:val="0096241B"/>
    <w:rsid w:val="00971FAA"/>
    <w:rsid w:val="00C92D76"/>
    <w:rsid w:val="00DB5DFE"/>
    <w:rsid w:val="00F2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45C4B83-6CF7-4DCF-A700-D1E9454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等线" w:hAnsi="Calibri" w:cs="Arial"/>
      <w:kern w:val="2"/>
      <w:sz w:val="24"/>
      <w:szCs w:val="24"/>
      <w:lang w:eastAsia="zh-TW"/>
    </w:rPr>
  </w:style>
  <w:style w:type="paragraph" w:styleId="1">
    <w:name w:val="heading 1"/>
    <w:basedOn w:val="a"/>
    <w:next w:val="a"/>
    <w:autoRedefine/>
    <w:pPr>
      <w:keepNext/>
      <w:keepLines/>
      <w:numPr>
        <w:numId w:val="4"/>
      </w:numPr>
      <w:spacing w:before="240" w:after="240" w:line="260" w:lineRule="exact"/>
      <w:ind w:left="450" w:hanging="450"/>
      <w:outlineLvl w:val="0"/>
    </w:pPr>
    <w:rPr>
      <w:rFonts w:ascii="Times New Roman" w:eastAsia="等线 Light" w:hAnsi="Times New Roman" w:cs="Times New Roman"/>
      <w:b/>
      <w:szCs w:val="32"/>
    </w:rPr>
  </w:style>
  <w:style w:type="paragraph" w:styleId="2">
    <w:name w:val="heading 2"/>
    <w:basedOn w:val="a"/>
    <w:next w:val="a"/>
    <w:autoRedefine/>
    <w:pPr>
      <w:keepNext/>
      <w:keepLines/>
      <w:numPr>
        <w:numId w:val="5"/>
      </w:numPr>
      <w:tabs>
        <w:tab w:val="left" w:pos="450"/>
      </w:tabs>
      <w:ind w:left="450" w:hanging="450"/>
      <w:outlineLvl w:val="1"/>
    </w:pPr>
    <w:rPr>
      <w:rFonts w:ascii="Times New Roman" w:eastAsia="等线 Light" w:hAnsi="Times New Roman" w:cs="Times New Roman"/>
      <w:sz w:val="26"/>
      <w:szCs w:val="26"/>
    </w:rPr>
  </w:style>
  <w:style w:type="paragraph" w:styleId="3">
    <w:name w:val="heading 3"/>
    <w:basedOn w:val="a"/>
    <w:next w:val="a"/>
    <w:link w:val="30"/>
    <w:autoRedefine/>
    <w:pPr>
      <w:keepNext/>
      <w:keepLines/>
      <w:numPr>
        <w:numId w:val="6"/>
      </w:numPr>
      <w:tabs>
        <w:tab w:val="left" w:pos="450"/>
      </w:tabs>
      <w:spacing w:before="240" w:after="240"/>
      <w:ind w:left="450" w:hanging="450"/>
      <w:outlineLvl w:val="2"/>
    </w:pPr>
    <w:rPr>
      <w:rFonts w:ascii="Times New Roman" w:eastAsia="等线 Light" w:hAnsi="Times New Roman" w:cs="Times New Roman"/>
    </w:rPr>
  </w:style>
  <w:style w:type="paragraph" w:styleId="4">
    <w:name w:val="heading 4"/>
    <w:basedOn w:val="a"/>
    <w:next w:val="a"/>
    <w:autoRedefine/>
    <w:pPr>
      <w:keepNext/>
      <w:keepLines/>
      <w:numPr>
        <w:numId w:val="7"/>
      </w:numPr>
      <w:tabs>
        <w:tab w:val="left" w:pos="450"/>
      </w:tabs>
      <w:spacing w:before="240" w:after="240" w:line="260" w:lineRule="exact"/>
      <w:ind w:left="450" w:hanging="450"/>
      <w:outlineLvl w:val="3"/>
    </w:pPr>
    <w:rPr>
      <w:rFonts w:ascii="Times New Roman" w:eastAsia="等线 Light" w:hAnsi="Times New Roman" w:cs="Times New Roman"/>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autoRedefine/>
    <w:rPr>
      <w:rFonts w:ascii="Times New Roman" w:eastAsia="等线 Light" w:hAnsi="Times New Roman" w:cs="Times New Roman"/>
      <w:kern w:val="2"/>
      <w:sz w:val="24"/>
      <w:szCs w:val="24"/>
      <w:lang w:val="en-US" w:eastAsia="zh-TW" w:bidi="ar-SA"/>
    </w:rPr>
  </w:style>
  <w:style w:type="paragraph" w:styleId="a3">
    <w:name w:val="footnote text"/>
    <w:basedOn w:val="a"/>
    <w:pPr>
      <w:snapToGrid w:val="0"/>
    </w:pPr>
    <w:rPr>
      <w:sz w:val="20"/>
      <w:szCs w:val="20"/>
    </w:rPr>
  </w:style>
  <w:style w:type="character" w:styleId="a4">
    <w:name w:val="footnote reference"/>
    <w:basedOn w:val="a0"/>
    <w:rPr>
      <w:vertAlign w:val="superscript"/>
    </w:rPr>
  </w:style>
  <w:style w:type="paragraph" w:customStyle="1" w:styleId="ListParagraph1">
    <w:name w:val="List Paragraph1"/>
    <w:basedOn w:val="a"/>
    <w:pPr>
      <w:ind w:leftChars="200" w:left="200"/>
    </w:p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styleId="a8">
    <w:name w:val="Hyperlink"/>
    <w:basedOn w:val="a0"/>
    <w:rPr>
      <w:color w:val="0563C1"/>
      <w:u w:val="single"/>
    </w:rPr>
  </w:style>
  <w:style w:type="paragraph" w:customStyle="1" w:styleId="ListParagraph10">
    <w:name w:val="List Paragraph1"/>
    <w:basedOn w:val="a"/>
    <w:pPr>
      <w:widowControl/>
      <w:ind w:leftChars="200" w:left="200"/>
    </w:pPr>
    <w:rPr>
      <w:rFonts w:ascii="Times New Roman" w:eastAsia="PMingLiU" w:hAnsi="Times New Roman" w:cs="Times New Roman"/>
      <w:kern w:val="0"/>
    </w:rPr>
  </w:style>
  <w:style w:type="character" w:styleId="a9">
    <w:name w:val="annotation reference"/>
    <w:basedOn w:val="a0"/>
    <w:rPr>
      <w:sz w:val="16"/>
      <w:szCs w:val="16"/>
    </w:rPr>
  </w:style>
  <w:style w:type="paragraph" w:styleId="aa">
    <w:name w:val="annotation text"/>
    <w:basedOn w:val="a"/>
    <w:rPr>
      <w:sz w:val="20"/>
      <w:szCs w:val="20"/>
    </w:rPr>
  </w:style>
  <w:style w:type="paragraph" w:styleId="ab">
    <w:name w:val="annotation subject"/>
    <w:basedOn w:val="aa"/>
    <w:next w:val="aa"/>
    <w:rPr>
      <w:b/>
      <w:bCs/>
    </w:rPr>
  </w:style>
  <w:style w:type="paragraph" w:styleId="ac">
    <w:name w:val="Date"/>
    <w:basedOn w:val="a"/>
    <w:next w:val="a"/>
  </w:style>
  <w:style w:type="paragraph" w:styleId="ad">
    <w:name w:val="Balloon Text"/>
    <w:basedOn w:val="a"/>
    <w:rPr>
      <w:rFonts w:ascii="Segoe UI" w:hAnsi="Segoe UI" w:cs="Segoe UI"/>
      <w:sz w:val="18"/>
      <w:szCs w:val="18"/>
    </w:rPr>
  </w:style>
  <w:style w:type="paragraph" w:styleId="ae">
    <w:name w:val="Body Text"/>
    <w:basedOn w:val="a"/>
    <w:pPr>
      <w:autoSpaceDE w:val="0"/>
      <w:autoSpaceDN w:val="0"/>
    </w:pPr>
    <w:rPr>
      <w:rFonts w:ascii="Times New Roman" w:eastAsia="Times New Roman" w:hAnsi="Times New Roman" w:cs="Times New Roman"/>
      <w:kern w:val="0"/>
      <w:lang w:eastAsia="en-US"/>
    </w:rPr>
  </w:style>
  <w:style w:type="paragraph" w:customStyle="1" w:styleId="Revision1">
    <w:name w:val="Revision1"/>
    <w:rPr>
      <w:rFonts w:ascii="Calibri" w:eastAsia="等线" w:hAnsi="Calibri" w:cs="Arial"/>
      <w:kern w:val="2"/>
      <w:sz w:val="24"/>
      <w:szCs w:val="24"/>
      <w:lang w:eastAsia="zh-TW"/>
    </w:rPr>
  </w:style>
  <w:style w:type="paragraph" w:styleId="af">
    <w:name w:val="Revision"/>
    <w:hidden/>
    <w:uiPriority w:val="99"/>
    <w:semiHidden/>
    <w:rsid w:val="0096241B"/>
    <w:rPr>
      <w:rFonts w:ascii="Calibri" w:eastAsia="等线" w:hAnsi="Calibri" w:cs="Arial"/>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3859</Words>
  <Characters>21997</Characters>
  <Application>Microsoft Office Word</Application>
  <DocSecurity>0</DocSecurity>
  <Lines>183</Lines>
  <Paragraphs>51</Paragraphs>
  <ScaleCrop>false</ScaleCrop>
  <Company>Loeb &amp; Loeb LLP</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Choi</dc:creator>
  <cp:lastModifiedBy>C C</cp:lastModifiedBy>
  <cp:revision>3</cp:revision>
  <cp:lastPrinted>2023-03-24T08:05:00Z</cp:lastPrinted>
  <dcterms:created xsi:type="dcterms:W3CDTF">2023-04-25T12:10:00Z</dcterms:created>
  <dcterms:modified xsi:type="dcterms:W3CDTF">2023-04-25T12:29:00Z</dcterms:modified>
</cp:coreProperties>
</file>