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6BC3A" w14:textId="77777777" w:rsidR="00380D88" w:rsidRPr="00380D88" w:rsidRDefault="00380D88" w:rsidP="00380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1A1311"/>
          <w:sz w:val="22"/>
          <w:szCs w:val="22"/>
        </w:rPr>
      </w:pPr>
      <w:r w:rsidRPr="00380D88">
        <w:rPr>
          <w:rFonts w:ascii="Times New Roman" w:hAnsi="Times New Roman" w:cs="Times New Roman"/>
          <w:i/>
          <w:iCs/>
          <w:color w:val="1A1311"/>
          <w:sz w:val="22"/>
          <w:szCs w:val="22"/>
        </w:rPr>
        <w:t>Hong Kong Exchanges and Clearing Limited and The Stock Exchange of Hong Kong Limited</w:t>
      </w:r>
    </w:p>
    <w:p w14:paraId="5DAFE272" w14:textId="77777777" w:rsidR="00380D88" w:rsidRPr="00380D88" w:rsidRDefault="00380D88" w:rsidP="00380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1A1311"/>
          <w:sz w:val="22"/>
          <w:szCs w:val="22"/>
        </w:rPr>
      </w:pPr>
      <w:r w:rsidRPr="00380D88">
        <w:rPr>
          <w:rFonts w:ascii="Times New Roman" w:hAnsi="Times New Roman" w:cs="Times New Roman"/>
          <w:i/>
          <w:iCs/>
          <w:color w:val="1A1311"/>
          <w:sz w:val="22"/>
          <w:szCs w:val="22"/>
        </w:rPr>
        <w:t>take no responsibility for the contents of this announcement, make no representation as to its</w:t>
      </w:r>
    </w:p>
    <w:p w14:paraId="3F8F2667" w14:textId="77777777" w:rsidR="00380D88" w:rsidRPr="00380D88" w:rsidRDefault="00380D88" w:rsidP="00380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1A1311"/>
          <w:sz w:val="22"/>
          <w:szCs w:val="22"/>
        </w:rPr>
      </w:pPr>
      <w:r w:rsidRPr="00380D88">
        <w:rPr>
          <w:rFonts w:ascii="Times New Roman" w:hAnsi="Times New Roman" w:cs="Times New Roman"/>
          <w:i/>
          <w:iCs/>
          <w:color w:val="1A1311"/>
          <w:sz w:val="22"/>
          <w:szCs w:val="22"/>
        </w:rPr>
        <w:t>accuracy or completeness and expressly disclaim any liability whatsoever for any loss</w:t>
      </w:r>
    </w:p>
    <w:p w14:paraId="442C9DC3" w14:textId="69195CFB" w:rsidR="004F15A4" w:rsidRPr="00380D88" w:rsidRDefault="00380D88" w:rsidP="00380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LTStd" w:eastAsia="PMingLiU" w:hAnsi="TimesLTStd" w:cs="TimesLTStd" w:hint="eastAsia"/>
          <w:sz w:val="22"/>
          <w:szCs w:val="22"/>
          <w:lang w:eastAsia="zh-TW"/>
        </w:rPr>
      </w:pPr>
      <w:r w:rsidRPr="00380D88">
        <w:rPr>
          <w:rFonts w:ascii="Times New Roman" w:hAnsi="Times New Roman" w:cs="Times New Roman"/>
          <w:i/>
          <w:iCs/>
          <w:color w:val="1A1311"/>
          <w:sz w:val="22"/>
          <w:szCs w:val="22"/>
        </w:rPr>
        <w:t>howsoever arising from or in reliance upon the whole or any part of the contents of this</w:t>
      </w:r>
      <w:r>
        <w:rPr>
          <w:rFonts w:ascii="Times New Roman" w:hAnsi="Times New Roman" w:cs="Times New Roman" w:hint="eastAsia"/>
          <w:i/>
          <w:iCs/>
          <w:color w:val="1A1311"/>
          <w:sz w:val="22"/>
          <w:szCs w:val="22"/>
        </w:rPr>
        <w:t xml:space="preserve"> </w:t>
      </w:r>
      <w:r w:rsidRPr="00380D88">
        <w:rPr>
          <w:rFonts w:ascii="Times New Roman" w:hAnsi="Times New Roman" w:cs="Times New Roman"/>
          <w:i/>
          <w:iCs/>
          <w:color w:val="1A1311"/>
          <w:sz w:val="22"/>
          <w:szCs w:val="22"/>
        </w:rPr>
        <w:t>announcement</w:t>
      </w:r>
    </w:p>
    <w:p w14:paraId="325B18AD" w14:textId="77777777" w:rsidR="00380D88" w:rsidRDefault="00380D88" w:rsidP="00380D88">
      <w:pPr>
        <w:pStyle w:val="a7"/>
        <w:snapToGrid w:val="0"/>
        <w:spacing w:before="100" w:after="100"/>
        <w:contextualSpacing/>
        <w:jc w:val="center"/>
        <w:rPr>
          <w:rFonts w:ascii="TimesLTStd" w:eastAsia="TimesLTStd" w:hAnsi="TimesLTStd" w:cs="TimesLTStd"/>
          <w:b/>
          <w:bCs/>
          <w:sz w:val="32"/>
          <w:szCs w:val="32"/>
        </w:rPr>
      </w:pPr>
      <w:r>
        <w:rPr>
          <w:rFonts w:ascii="TimesLTStd" w:eastAsia="TimesLTStd" w:hAnsi="TimesLTStd" w:cs="TimesLTStd"/>
          <w:b/>
          <w:bCs/>
          <w:noProof/>
          <w:sz w:val="32"/>
          <w:szCs w:val="32"/>
        </w:rPr>
        <w:drawing>
          <wp:inline distT="0" distB="0" distL="0" distR="0" wp14:anchorId="6101888F" wp14:editId="054FB8B9">
            <wp:extent cx="2664460" cy="676231"/>
            <wp:effectExtent l="0" t="0" r="0" b="0"/>
            <wp:docPr id="61161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5876" name="图片 611615876"/>
                    <pic:cNvPicPr/>
                  </pic:nvPicPr>
                  <pic:blipFill rotWithShape="1">
                    <a:blip r:embed="rId4"/>
                    <a:srcRect t="12655" b="51427"/>
                    <a:stretch/>
                  </pic:blipFill>
                  <pic:spPr bwMode="auto">
                    <a:xfrm>
                      <a:off x="0" y="0"/>
                      <a:ext cx="2748454" cy="697548"/>
                    </a:xfrm>
                    <a:prstGeom prst="rect">
                      <a:avLst/>
                    </a:prstGeom>
                    <a:ln>
                      <a:noFill/>
                    </a:ln>
                    <a:extLst>
                      <a:ext uri="{53640926-AAD7-44D8-BBD7-CCE9431645EC}">
                        <a14:shadowObscured xmlns:a14="http://schemas.microsoft.com/office/drawing/2010/main"/>
                      </a:ext>
                    </a:extLst>
                  </pic:spPr>
                </pic:pic>
              </a:graphicData>
            </a:graphic>
          </wp:inline>
        </w:drawing>
      </w:r>
    </w:p>
    <w:p w14:paraId="5441FA68" w14:textId="629968EC" w:rsidR="004F15A4" w:rsidRDefault="00000000" w:rsidP="00380D88">
      <w:pPr>
        <w:pStyle w:val="a7"/>
        <w:snapToGrid w:val="0"/>
        <w:spacing w:before="100" w:after="100"/>
        <w:contextualSpacing/>
        <w:jc w:val="center"/>
        <w:rPr>
          <w:b/>
          <w:bCs/>
        </w:rPr>
      </w:pPr>
      <w:r>
        <w:rPr>
          <w:rFonts w:ascii="TimesLTStd" w:eastAsia="TimesLTStd" w:hAnsi="TimesLTStd" w:cs="TimesLTStd"/>
          <w:b/>
          <w:bCs/>
          <w:sz w:val="32"/>
          <w:szCs w:val="32"/>
        </w:rPr>
        <w:t>Glory Health Industry Limited</w:t>
      </w:r>
    </w:p>
    <w:p w14:paraId="02303B08" w14:textId="77777777" w:rsidR="004F15A4" w:rsidRDefault="00000000">
      <w:pPr>
        <w:pStyle w:val="a7"/>
        <w:snapToGrid w:val="0"/>
        <w:spacing w:before="100" w:after="100"/>
        <w:contextualSpacing/>
        <w:jc w:val="center"/>
        <w:rPr>
          <w:b/>
        </w:rPr>
      </w:pPr>
      <w:r>
        <w:rPr>
          <w:rFonts w:ascii="MHeiHK-Bold-ETen-B5-H-Identity-" w:eastAsia="MHeiHK-Bold-ETen-B5-H-Identity-" w:hAnsi="MHeiHK-Bold-ETen-B5-H-Identity-" w:cs="MHeiHK-Bold-ETen-B5-H-Identity-"/>
          <w:b/>
          <w:sz w:val="32"/>
          <w:szCs w:val="32"/>
        </w:rPr>
        <w:t>國瑞健康產業有限公司</w:t>
      </w:r>
    </w:p>
    <w:p w14:paraId="0F554DD1" w14:textId="4828356B" w:rsidR="004F15A4" w:rsidRDefault="00380D88">
      <w:pPr>
        <w:pStyle w:val="a7"/>
        <w:snapToGrid w:val="0"/>
        <w:spacing w:before="100" w:after="100"/>
        <w:contextualSpacing/>
        <w:jc w:val="center"/>
        <w:rPr>
          <w:i/>
        </w:rPr>
      </w:pPr>
      <w:r>
        <w:rPr>
          <w:i/>
          <w:iCs/>
          <w:color w:val="1A1311"/>
          <w:sz w:val="19"/>
          <w:szCs w:val="19"/>
        </w:rPr>
        <w:t>(Incorporated in the Cayman Islands with limited liability)</w:t>
      </w:r>
    </w:p>
    <w:p w14:paraId="56970F56" w14:textId="681144CE" w:rsidR="004F15A4" w:rsidRDefault="00380D88">
      <w:pPr>
        <w:pStyle w:val="a7"/>
        <w:snapToGrid w:val="0"/>
        <w:spacing w:before="100" w:after="100"/>
        <w:contextualSpacing/>
        <w:jc w:val="center"/>
        <w:rPr>
          <w:rFonts w:ascii="MHeiHK-Bold-ETen-B5-H-Identity-" w:eastAsia="PMingLiU" w:hAnsi="MHeiHK-Bold-ETen-B5-H-Identity-" w:cs="MHeiHK-Bold-ETen-B5-H-Identity-" w:hint="eastAsia"/>
          <w:lang w:eastAsia="zh-TW"/>
        </w:rPr>
      </w:pPr>
      <w:r>
        <w:rPr>
          <w:b/>
          <w:bCs/>
          <w:color w:val="1A1311"/>
          <w:sz w:val="19"/>
          <w:szCs w:val="19"/>
        </w:rPr>
        <w:t>(Stock Code: 2329)</w:t>
      </w:r>
    </w:p>
    <w:p w14:paraId="7C3440DD" w14:textId="77777777" w:rsidR="004F15A4" w:rsidRPr="00380D88" w:rsidRDefault="004F15A4">
      <w:pPr>
        <w:pStyle w:val="a7"/>
        <w:snapToGrid w:val="0"/>
        <w:spacing w:before="100" w:after="100"/>
        <w:contextualSpacing/>
        <w:jc w:val="center"/>
        <w:rPr>
          <w:rFonts w:eastAsia="PMingLiU"/>
          <w:sz w:val="22"/>
          <w:szCs w:val="22"/>
          <w:lang w:eastAsia="zh-TW"/>
        </w:rPr>
      </w:pPr>
    </w:p>
    <w:p w14:paraId="7BA94A54" w14:textId="2F697A73" w:rsidR="004F15A4" w:rsidRPr="00380D88" w:rsidRDefault="00380D88">
      <w:pPr>
        <w:pStyle w:val="a7"/>
        <w:snapToGrid w:val="0"/>
        <w:spacing w:before="100" w:after="100"/>
        <w:contextualSpacing/>
        <w:jc w:val="center"/>
        <w:rPr>
          <w:rFonts w:ascii="MSungHK-Light-ETen-B5-H-Identit" w:eastAsia="PMingLiU" w:hAnsi="MSungHK-Light-ETen-B5-H-Identit" w:cs="MSungHK-Light-ETen-B5-H-Identit" w:hint="eastAsia"/>
          <w:b/>
          <w:bCs/>
          <w:sz w:val="22"/>
          <w:szCs w:val="22"/>
          <w:lang w:eastAsia="zh-TW"/>
        </w:rPr>
      </w:pPr>
      <w:r w:rsidRPr="00380D88">
        <w:rPr>
          <w:rFonts w:ascii="PMingLiU" w:eastAsia="PMingLiU" w:hAnsi="PMingLiU" w:cs="PMingLiU"/>
          <w:sz w:val="22"/>
          <w:szCs w:val="22"/>
          <w:lang w:eastAsia="zh-TW"/>
        </w:rPr>
        <w:t>Voluntary Announcement</w:t>
      </w:r>
    </w:p>
    <w:p w14:paraId="08D7C182" w14:textId="374B9502" w:rsidR="004F15A4" w:rsidRPr="00380D88" w:rsidRDefault="00380D88">
      <w:pPr>
        <w:pStyle w:val="a7"/>
        <w:spacing w:line="360" w:lineRule="auto"/>
        <w:jc w:val="center"/>
        <w:rPr>
          <w:rFonts w:ascii="MSungHK-Light-ETen-B5-H-Identit" w:eastAsia="PMingLiU" w:hAnsi="MSungHK-Light-ETen-B5-H-Identit" w:cs="MSungHK-Light-ETen-B5-H-Identit" w:hint="eastAsia"/>
          <w:sz w:val="22"/>
          <w:szCs w:val="22"/>
        </w:rPr>
      </w:pPr>
      <w:r w:rsidRPr="00380D88">
        <w:rPr>
          <w:rFonts w:ascii="PMingLiU" w:eastAsia="PMingLiU" w:hAnsi="PMingLiU" w:cs="PMingLiU"/>
          <w:sz w:val="22"/>
          <w:szCs w:val="22"/>
          <w:lang w:eastAsia="zh-TW"/>
        </w:rPr>
        <w:t>Strategic Cooperation</w:t>
      </w:r>
    </w:p>
    <w:p w14:paraId="22FBF060" w14:textId="5A9D297C" w:rsidR="00380D88" w:rsidRPr="00380D88" w:rsidRDefault="00380D88" w:rsidP="00380D88">
      <w:pPr>
        <w:pStyle w:val="a7"/>
        <w:jc w:val="both"/>
        <w:rPr>
          <w:rFonts w:ascii="PMingLiU" w:eastAsia="PMingLiU" w:hAnsi="PMingLiU" w:cs="PMingLiU"/>
          <w:sz w:val="22"/>
          <w:szCs w:val="22"/>
          <w:lang w:eastAsia="zh-TW"/>
        </w:rPr>
      </w:pPr>
      <w:r w:rsidRPr="00380D88">
        <w:rPr>
          <w:rFonts w:ascii="PMingLiU" w:eastAsia="PMingLiU" w:hAnsi="PMingLiU" w:cs="PMingLiU"/>
          <w:sz w:val="22"/>
          <w:szCs w:val="22"/>
          <w:lang w:eastAsia="zh-TW"/>
        </w:rPr>
        <w:t xml:space="preserve">This announcement is made voluntarily by Guorui Health Industry Ltd. (the </w:t>
      </w:r>
      <w:r w:rsidR="00EF5732" w:rsidRPr="00380D88">
        <w:rPr>
          <w:rFonts w:ascii="PMingLiU" w:eastAsia="PMingLiU" w:hAnsi="PMingLiU" w:cs="PMingLiU"/>
          <w:sz w:val="22"/>
          <w:szCs w:val="22"/>
          <w:lang w:eastAsia="zh-TW"/>
        </w:rPr>
        <w:t>"</w:t>
      </w:r>
      <w:r w:rsidRPr="00EF5732">
        <w:rPr>
          <w:rFonts w:ascii="PMingLiU" w:eastAsia="PMingLiU" w:hAnsi="PMingLiU" w:cs="PMingLiU"/>
          <w:b/>
          <w:bCs/>
          <w:sz w:val="22"/>
          <w:szCs w:val="22"/>
          <w:lang w:eastAsia="zh-TW"/>
        </w:rPr>
        <w:t>Company</w:t>
      </w:r>
      <w:r w:rsidRPr="00380D88">
        <w:rPr>
          <w:rFonts w:ascii="PMingLiU" w:eastAsia="PMingLiU" w:hAnsi="PMingLiU" w:cs="PMingLiU"/>
          <w:sz w:val="22"/>
          <w:szCs w:val="22"/>
          <w:lang w:eastAsia="zh-TW"/>
        </w:rPr>
        <w:t xml:space="preserve">", together with its subsidiaries, collectively referred to as the </w:t>
      </w:r>
      <w:r w:rsidR="00EF5732" w:rsidRPr="00380D88">
        <w:rPr>
          <w:rFonts w:ascii="PMingLiU" w:eastAsia="PMingLiU" w:hAnsi="PMingLiU" w:cs="PMingLiU"/>
          <w:sz w:val="22"/>
          <w:szCs w:val="22"/>
          <w:lang w:eastAsia="zh-TW"/>
        </w:rPr>
        <w:t>"</w:t>
      </w:r>
      <w:r w:rsidRPr="00EF5732">
        <w:rPr>
          <w:rFonts w:ascii="PMingLiU" w:eastAsia="PMingLiU" w:hAnsi="PMingLiU" w:cs="PMingLiU"/>
          <w:b/>
          <w:bCs/>
          <w:sz w:val="22"/>
          <w:szCs w:val="22"/>
          <w:lang w:eastAsia="zh-TW"/>
        </w:rPr>
        <w:t>Group</w:t>
      </w:r>
      <w:r w:rsidRPr="00380D88">
        <w:rPr>
          <w:rFonts w:ascii="PMingLiU" w:eastAsia="PMingLiU" w:hAnsi="PMingLiU" w:cs="PMingLiU"/>
          <w:sz w:val="22"/>
          <w:szCs w:val="22"/>
          <w:lang w:eastAsia="zh-TW"/>
        </w:rPr>
        <w:t>"). This announcement aims to provide the Company's shareholders and potential investors with the latest news regarding the Group's recent business developments.</w:t>
      </w:r>
    </w:p>
    <w:p w14:paraId="36416094" w14:textId="387D079C" w:rsidR="00380D88" w:rsidRPr="00380D88" w:rsidRDefault="00380D88" w:rsidP="00380D88">
      <w:pPr>
        <w:pStyle w:val="a7"/>
        <w:jc w:val="both"/>
        <w:rPr>
          <w:rFonts w:ascii="PMingLiU" w:eastAsia="PMingLiU" w:hAnsi="PMingLiU" w:cs="PMingLiU"/>
          <w:sz w:val="22"/>
          <w:szCs w:val="22"/>
          <w:lang w:eastAsia="zh-TW"/>
        </w:rPr>
      </w:pPr>
      <w:r w:rsidRPr="00380D88">
        <w:rPr>
          <w:rFonts w:ascii="PMingLiU" w:eastAsia="PMingLiU" w:hAnsi="PMingLiU" w:cs="PMingLiU"/>
          <w:sz w:val="22"/>
          <w:szCs w:val="22"/>
          <w:lang w:eastAsia="zh-TW"/>
        </w:rPr>
        <w:t xml:space="preserve">The Board of Directors (the </w:t>
      </w:r>
      <w:r w:rsidR="00EF5732" w:rsidRPr="00380D88">
        <w:rPr>
          <w:rFonts w:ascii="PMingLiU" w:eastAsia="PMingLiU" w:hAnsi="PMingLiU" w:cs="PMingLiU"/>
          <w:sz w:val="22"/>
          <w:szCs w:val="22"/>
          <w:lang w:eastAsia="zh-TW"/>
        </w:rPr>
        <w:t>"</w:t>
      </w:r>
      <w:r w:rsidRPr="00EF5732">
        <w:rPr>
          <w:rFonts w:ascii="PMingLiU" w:eastAsia="PMingLiU" w:hAnsi="PMingLiU" w:cs="PMingLiU"/>
          <w:b/>
          <w:bCs/>
          <w:sz w:val="22"/>
          <w:szCs w:val="22"/>
          <w:lang w:eastAsia="zh-TW"/>
        </w:rPr>
        <w:t>Board</w:t>
      </w:r>
      <w:r w:rsidRPr="00380D88">
        <w:rPr>
          <w:rFonts w:ascii="PMingLiU" w:eastAsia="PMingLiU" w:hAnsi="PMingLiU" w:cs="PMingLiU"/>
          <w:sz w:val="22"/>
          <w:szCs w:val="22"/>
          <w:lang w:eastAsia="zh-TW"/>
        </w:rPr>
        <w:t xml:space="preserve">") of the Company is pleased to announce that the Company has recently signed a strategic cooperation letter of intent (the </w:t>
      </w:r>
      <w:r w:rsidR="00EF5732" w:rsidRPr="00380D88">
        <w:rPr>
          <w:rFonts w:ascii="PMingLiU" w:eastAsia="PMingLiU" w:hAnsi="PMingLiU" w:cs="PMingLiU"/>
          <w:sz w:val="22"/>
          <w:szCs w:val="22"/>
          <w:lang w:eastAsia="zh-TW"/>
        </w:rPr>
        <w:t>"</w:t>
      </w:r>
      <w:r w:rsidRPr="00EF5732">
        <w:rPr>
          <w:rFonts w:ascii="PMingLiU" w:eastAsia="PMingLiU" w:hAnsi="PMingLiU" w:cs="PMingLiU"/>
          <w:b/>
          <w:bCs/>
          <w:sz w:val="22"/>
          <w:szCs w:val="22"/>
          <w:lang w:eastAsia="zh-TW"/>
        </w:rPr>
        <w:t>Letter of Intent</w:t>
      </w:r>
      <w:r w:rsidRPr="00380D88">
        <w:rPr>
          <w:rFonts w:ascii="PMingLiU" w:eastAsia="PMingLiU" w:hAnsi="PMingLiU" w:cs="PMingLiU"/>
          <w:sz w:val="22"/>
          <w:szCs w:val="22"/>
          <w:lang w:eastAsia="zh-TW"/>
        </w:rPr>
        <w:t>") with China Health Industry Investment Fund Management Co., Ltd. ("</w:t>
      </w:r>
      <w:r w:rsidRPr="00EF5732">
        <w:rPr>
          <w:rFonts w:ascii="PMingLiU" w:eastAsia="PMingLiU" w:hAnsi="PMingLiU" w:cs="PMingLiU"/>
          <w:b/>
          <w:bCs/>
          <w:sz w:val="22"/>
          <w:szCs w:val="22"/>
          <w:lang w:eastAsia="zh-TW"/>
        </w:rPr>
        <w:t>China Health</w:t>
      </w:r>
      <w:r w:rsidRPr="00380D88">
        <w:rPr>
          <w:rFonts w:ascii="PMingLiU" w:eastAsia="PMingLiU" w:hAnsi="PMingLiU" w:cs="PMingLiU"/>
          <w:sz w:val="22"/>
          <w:szCs w:val="22"/>
          <w:lang w:eastAsia="zh-TW"/>
        </w:rPr>
        <w:t>").</w:t>
      </w:r>
    </w:p>
    <w:p w14:paraId="0522CF1B" w14:textId="77777777" w:rsidR="00380D88" w:rsidRPr="00380D88" w:rsidRDefault="00380D88" w:rsidP="00380D88">
      <w:pPr>
        <w:pStyle w:val="a7"/>
        <w:jc w:val="both"/>
        <w:rPr>
          <w:rFonts w:ascii="PMingLiU" w:eastAsia="PMingLiU" w:hAnsi="PMingLiU" w:cs="PMingLiU"/>
          <w:sz w:val="22"/>
          <w:szCs w:val="22"/>
          <w:lang w:eastAsia="zh-TW"/>
        </w:rPr>
      </w:pPr>
      <w:r w:rsidRPr="00380D88">
        <w:rPr>
          <w:rFonts w:ascii="PMingLiU" w:eastAsia="PMingLiU" w:hAnsi="PMingLiU" w:cs="PMingLiU"/>
          <w:sz w:val="22"/>
          <w:szCs w:val="22"/>
          <w:lang w:eastAsia="zh-TW"/>
        </w:rPr>
        <w:t>China Health is a [national and state-level industry fund management company approved by the National Development and Reform Commission and registered with the State Administration for Industry and Commerce. The company aims to promote the implementation of the "Healthy China" national strategy, ensure the implementation of the "Healthy China" planning outline, and drive the development of the health industry].</w:t>
      </w:r>
    </w:p>
    <w:p w14:paraId="23700146" w14:textId="77777777" w:rsidR="00380D88" w:rsidRPr="00380D88" w:rsidRDefault="00380D88" w:rsidP="00380D88">
      <w:pPr>
        <w:pStyle w:val="a7"/>
        <w:jc w:val="both"/>
        <w:rPr>
          <w:rFonts w:ascii="PMingLiU" w:eastAsia="PMingLiU" w:hAnsi="PMingLiU" w:cs="PMingLiU"/>
          <w:sz w:val="22"/>
          <w:szCs w:val="22"/>
          <w:lang w:eastAsia="zh-TW"/>
        </w:rPr>
      </w:pPr>
      <w:r w:rsidRPr="00380D88">
        <w:rPr>
          <w:rFonts w:ascii="PMingLiU" w:eastAsia="PMingLiU" w:hAnsi="PMingLiU" w:cs="PMingLiU"/>
          <w:sz w:val="22"/>
          <w:szCs w:val="22"/>
          <w:lang w:eastAsia="zh-TW"/>
        </w:rPr>
        <w:t>The Company believes that the proposed strategic cooperation under the Letter of Intent aligns with the Group's long-term development goals and business development strategies. This strategic cooperation with China Health has the potential to bring profit growth points for both parties, which is in the overall interest of the Company and its shareholders. Should there be any progress, the specific terms of cooperation with China Health will be further announced in accordance with the Listing Rules of The Stock Exchange of Hong Kong Limited at the appropriate time.</w:t>
      </w:r>
    </w:p>
    <w:p w14:paraId="5827555E" w14:textId="0C7CBD19" w:rsidR="00380D88" w:rsidRPr="00380D88" w:rsidRDefault="00380D88" w:rsidP="00380D88">
      <w:pPr>
        <w:pStyle w:val="a7"/>
        <w:jc w:val="both"/>
        <w:rPr>
          <w:rFonts w:ascii="MSungHK-Light-ETen-B5-H-Identit" w:eastAsia="PMingLiU" w:hAnsi="MSungHK-Light-ETen-B5-H-Identit" w:cs="MSungHK-Light-ETen-B5-H-Identit" w:hint="eastAsia"/>
          <w:sz w:val="22"/>
          <w:szCs w:val="22"/>
          <w:lang w:eastAsia="zh-TW"/>
        </w:rPr>
      </w:pPr>
      <w:r w:rsidRPr="00380D88">
        <w:rPr>
          <w:rFonts w:ascii="PMingLiU" w:eastAsia="PMingLiU" w:hAnsi="PMingLiU" w:cs="PMingLiU"/>
          <w:sz w:val="22"/>
          <w:szCs w:val="22"/>
          <w:lang w:eastAsia="zh-TW"/>
        </w:rPr>
        <w:t>Shareholders and potential investors are advised to exercise caution when dealing in the Company's shares.</w:t>
      </w:r>
    </w:p>
    <w:p w14:paraId="6F6B0F40" w14:textId="0A189273" w:rsidR="004F15A4" w:rsidRPr="00380D88" w:rsidRDefault="00380D88">
      <w:pPr>
        <w:pStyle w:val="a7"/>
        <w:spacing w:line="360" w:lineRule="auto"/>
        <w:jc w:val="both"/>
        <w:rPr>
          <w:rFonts w:ascii="MSungHK-Light-ETen-B5-H-Identit" w:eastAsia="PMingLiU" w:hAnsi="MSungHK-Light-ETen-B5-H-Identit" w:cs="MSungHK-Light-ETen-B5-H-Identit" w:hint="eastAsia"/>
          <w:b/>
          <w:bCs/>
          <w:sz w:val="22"/>
          <w:szCs w:val="22"/>
          <w:lang w:eastAsia="zh-TW"/>
        </w:rPr>
      </w:pPr>
      <w:r w:rsidRPr="00380D88">
        <w:rPr>
          <w:rFonts w:ascii="MSungHK-Light-ETen-B5-H-Identit" w:eastAsia="PMingLiU" w:hAnsi="MSungHK-Light-ETen-B5-H-Identit" w:cs="MSungHK-Light-ETen-B5-H-Identit"/>
          <w:b/>
          <w:bCs/>
          <w:sz w:val="22"/>
          <w:szCs w:val="22"/>
          <w:lang w:eastAsia="zh-TW"/>
        </w:rPr>
        <w:t>Shareholders and potential investors are advised to exercise caution when dealing in the Company's shares.</w:t>
      </w:r>
    </w:p>
    <w:p w14:paraId="7934F193" w14:textId="6A6F76EE" w:rsidR="004F15A4" w:rsidRDefault="00EF5732" w:rsidP="00EF5732">
      <w:pPr>
        <w:pStyle w:val="a7"/>
        <w:snapToGrid w:val="0"/>
        <w:spacing w:before="100" w:after="100"/>
        <w:contextualSpacing/>
        <w:jc w:val="both"/>
        <w:rPr>
          <w:rFonts w:ascii="MSungHK-Light-ETen-B5-H-Identit" w:eastAsia="PMingLiU" w:hAnsi="MSungHK-Light-ETen-B5-H-Identit" w:cs="MSungHK-Light-ETen-B5-H-Identit" w:hint="eastAsia"/>
          <w:b/>
          <w:bCs/>
          <w:lang w:eastAsia="zh-TW"/>
        </w:rPr>
      </w:pPr>
      <w:r>
        <w:rPr>
          <w:color w:val="1A1311"/>
        </w:rPr>
        <w:t>By Order of the Board</w:t>
      </w:r>
    </w:p>
    <w:p w14:paraId="7F2480D2" w14:textId="7B8E01A6" w:rsidR="004F15A4" w:rsidRDefault="00EF5732" w:rsidP="00EF5732">
      <w:pPr>
        <w:pStyle w:val="a7"/>
        <w:snapToGrid w:val="0"/>
        <w:spacing w:before="100" w:after="100"/>
        <w:ind w:right="960"/>
        <w:contextualSpacing/>
        <w:jc w:val="right"/>
        <w:rPr>
          <w:rFonts w:ascii="PMingLiU" w:eastAsia="PMingLiU" w:hAnsi="PMingLiU" w:cs="PMingLiU"/>
          <w:b/>
          <w:bCs/>
          <w:lang w:eastAsia="zh-TW"/>
        </w:rPr>
      </w:pPr>
      <w:r>
        <w:rPr>
          <w:b/>
          <w:bCs/>
          <w:color w:val="1A1311"/>
        </w:rPr>
        <w:t>Glory Health Industry Limited</w:t>
      </w:r>
    </w:p>
    <w:p w14:paraId="366EF233" w14:textId="3F1454F8" w:rsidR="004F15A4" w:rsidRDefault="00EF5732" w:rsidP="00EF5732">
      <w:pPr>
        <w:pStyle w:val="a7"/>
        <w:snapToGrid w:val="0"/>
        <w:spacing w:before="100" w:after="100"/>
        <w:ind w:left="5040" w:right="960"/>
        <w:contextualSpacing/>
        <w:jc w:val="center"/>
        <w:rPr>
          <w:rFonts w:ascii="PMingLiU" w:eastAsia="PMingLiU" w:hAnsi="PMingLiU" w:cs="PMingLiU"/>
          <w:lang w:eastAsia="zh-TW"/>
        </w:rPr>
      </w:pPr>
      <w:r>
        <w:rPr>
          <w:b/>
          <w:bCs/>
          <w:color w:val="1A1311"/>
        </w:rPr>
        <w:lastRenderedPageBreak/>
        <w:t>Zhang Zhangsun</w:t>
      </w:r>
    </w:p>
    <w:p w14:paraId="594E5662" w14:textId="06F46351" w:rsidR="004F15A4" w:rsidRDefault="00EF5732" w:rsidP="00EF5732">
      <w:pPr>
        <w:pStyle w:val="a7"/>
        <w:snapToGrid w:val="0"/>
        <w:spacing w:before="100" w:after="100"/>
        <w:ind w:left="4320" w:right="960" w:firstLine="720"/>
        <w:contextualSpacing/>
        <w:jc w:val="center"/>
        <w:rPr>
          <w:rFonts w:ascii="MSungHK-Light-ETen-B5-H-Identit" w:eastAsia="PMingLiU" w:hAnsi="MSungHK-Light-ETen-B5-H-Identit" w:cs="MSungHK-Light-ETen-B5-H-Identit" w:hint="eastAsia"/>
          <w:lang w:eastAsia="zh-TW"/>
        </w:rPr>
      </w:pPr>
      <w:r>
        <w:rPr>
          <w:i/>
          <w:iCs/>
          <w:color w:val="1A1311"/>
          <w:sz w:val="23"/>
          <w:szCs w:val="23"/>
        </w:rPr>
        <w:t>Chairman</w:t>
      </w:r>
    </w:p>
    <w:p w14:paraId="6B92BA5B" w14:textId="0E1DC8EB" w:rsidR="00EF5732" w:rsidRDefault="00EF5732">
      <w:pPr>
        <w:rPr>
          <w:rFonts w:ascii="Times New Roman" w:hAnsi="Times New Roman" w:cs="Times New Roman"/>
          <w:color w:val="1A1311"/>
          <w:sz w:val="24"/>
          <w:szCs w:val="24"/>
        </w:rPr>
      </w:pPr>
      <w:r>
        <w:rPr>
          <w:rFonts w:ascii="Times New Roman" w:hAnsi="Times New Roman" w:cs="Times New Roman"/>
          <w:color w:val="1A1311"/>
          <w:sz w:val="24"/>
          <w:szCs w:val="24"/>
        </w:rPr>
        <w:t xml:space="preserve">Beijing, the PRC, </w:t>
      </w:r>
      <w:r w:rsidR="00B10C47">
        <w:rPr>
          <w:rFonts w:ascii="Times New Roman" w:hAnsi="Times New Roman" w:cs="Times New Roman" w:hint="eastAsia"/>
          <w:color w:val="1A1311"/>
          <w:sz w:val="24"/>
          <w:szCs w:val="24"/>
        </w:rPr>
        <w:t xml:space="preserve">August </w:t>
      </w:r>
      <w:r>
        <w:rPr>
          <w:rFonts w:ascii="Times New Roman" w:hAnsi="Times New Roman" w:cs="Times New Roman" w:hint="eastAsia"/>
          <w:color w:val="1A1311"/>
          <w:sz w:val="24"/>
          <w:szCs w:val="24"/>
        </w:rPr>
        <w:t>1</w:t>
      </w:r>
      <w:r>
        <w:rPr>
          <w:rFonts w:ascii="Times New Roman" w:hAnsi="Times New Roman" w:cs="Times New Roman"/>
          <w:color w:val="1A1311"/>
          <w:sz w:val="24"/>
          <w:szCs w:val="24"/>
        </w:rPr>
        <w:t>, 2024</w:t>
      </w:r>
    </w:p>
    <w:p w14:paraId="772BA0B4" w14:textId="77777777" w:rsidR="00EF5732" w:rsidRDefault="00EF5732">
      <w:pPr>
        <w:rPr>
          <w:rFonts w:ascii="Times New Roman" w:hAnsi="Times New Roman" w:cs="Times New Roman"/>
          <w:color w:val="1A1311"/>
          <w:sz w:val="24"/>
          <w:szCs w:val="24"/>
        </w:rPr>
      </w:pPr>
    </w:p>
    <w:p w14:paraId="7C92E8F2" w14:textId="77777777" w:rsidR="00EF5732" w:rsidRPr="00EF5732" w:rsidRDefault="00EF5732" w:rsidP="00EF57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1A1311"/>
          <w:sz w:val="21"/>
          <w:szCs w:val="21"/>
        </w:rPr>
      </w:pPr>
      <w:r w:rsidRPr="00EF5732">
        <w:rPr>
          <w:rFonts w:ascii="Times New Roman" w:hAnsi="Times New Roman" w:cs="Times New Roman"/>
          <w:i/>
          <w:iCs/>
          <w:color w:val="1A1311"/>
          <w:sz w:val="21"/>
          <w:szCs w:val="21"/>
        </w:rPr>
        <w:t>As at the date of this announcement, the Board of the Company comprises Mr. Zhang Zhangsun,</w:t>
      </w:r>
    </w:p>
    <w:p w14:paraId="2AFF8AD8" w14:textId="77777777" w:rsidR="00EF5732" w:rsidRPr="00EF5732" w:rsidRDefault="00EF5732" w:rsidP="00EF57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1A1311"/>
          <w:sz w:val="21"/>
          <w:szCs w:val="21"/>
        </w:rPr>
      </w:pPr>
      <w:r w:rsidRPr="00EF5732">
        <w:rPr>
          <w:rFonts w:ascii="Times New Roman" w:hAnsi="Times New Roman" w:cs="Times New Roman"/>
          <w:i/>
          <w:iCs/>
          <w:color w:val="1A1311"/>
          <w:sz w:val="21"/>
          <w:szCs w:val="21"/>
        </w:rPr>
        <w:t>Ms. Ruan Wenjuan, Mr. Yang Huabin, Mr. Feng Yang and Mr. Zhao Yuhong as executive</w:t>
      </w:r>
    </w:p>
    <w:p w14:paraId="287E4EC5" w14:textId="77777777" w:rsidR="00EF5732" w:rsidRPr="00EF5732" w:rsidRDefault="00EF5732" w:rsidP="00EF57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1A1311"/>
          <w:sz w:val="21"/>
          <w:szCs w:val="21"/>
        </w:rPr>
      </w:pPr>
      <w:r w:rsidRPr="00EF5732">
        <w:rPr>
          <w:rFonts w:ascii="Times New Roman" w:hAnsi="Times New Roman" w:cs="Times New Roman"/>
          <w:i/>
          <w:iCs/>
          <w:color w:val="1A1311"/>
          <w:sz w:val="21"/>
          <w:szCs w:val="21"/>
        </w:rPr>
        <w:t>directors; and Ms. Chen Jinrong and Mr. Deng Zhidong as independent non-executive</w:t>
      </w:r>
    </w:p>
    <w:p w14:paraId="29909EEC" w14:textId="10A0AE4A" w:rsidR="004F15A4" w:rsidRPr="00EF5732" w:rsidRDefault="00EF5732" w:rsidP="00EF5732">
      <w:pPr>
        <w:rPr>
          <w:i/>
          <w:iCs/>
          <w:sz w:val="21"/>
          <w:szCs w:val="21"/>
          <w:lang w:eastAsia="zh-TW"/>
        </w:rPr>
      </w:pPr>
      <w:r w:rsidRPr="00EF5732">
        <w:rPr>
          <w:rFonts w:ascii="Times New Roman" w:hAnsi="Times New Roman" w:cs="Times New Roman"/>
          <w:i/>
          <w:iCs/>
          <w:color w:val="1A1311"/>
          <w:sz w:val="21"/>
          <w:szCs w:val="21"/>
        </w:rPr>
        <w:t>directors.</w:t>
      </w:r>
    </w:p>
    <w:sectPr w:rsidR="004F15A4" w:rsidRPr="00EF5732">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LTStd">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MHeiHK-Bold-ETen-B5-H-Identity-">
    <w:altName w:val="Calibri"/>
    <w:charset w:val="00"/>
    <w:family w:val="auto"/>
    <w:pitch w:val="default"/>
  </w:font>
  <w:font w:name="MSungHK-Light-ETen-B5-H-Identi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bordersDoNotSurroundHeader/>
  <w:bordersDoNotSurroundFooter/>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F60F0D"/>
    <w:rsid w:val="E9EE6FC3"/>
    <w:rsid w:val="0000344A"/>
    <w:rsid w:val="000378AB"/>
    <w:rsid w:val="0004019B"/>
    <w:rsid w:val="000610ED"/>
    <w:rsid w:val="0006336B"/>
    <w:rsid w:val="00086631"/>
    <w:rsid w:val="00137BBF"/>
    <w:rsid w:val="001A0566"/>
    <w:rsid w:val="00273001"/>
    <w:rsid w:val="002A0CF7"/>
    <w:rsid w:val="002D141A"/>
    <w:rsid w:val="00380D88"/>
    <w:rsid w:val="0043139A"/>
    <w:rsid w:val="00431625"/>
    <w:rsid w:val="004F15A4"/>
    <w:rsid w:val="00525E8C"/>
    <w:rsid w:val="005C30AA"/>
    <w:rsid w:val="005E04F4"/>
    <w:rsid w:val="00760E73"/>
    <w:rsid w:val="007628D1"/>
    <w:rsid w:val="007729B6"/>
    <w:rsid w:val="00784525"/>
    <w:rsid w:val="00787034"/>
    <w:rsid w:val="007A56B7"/>
    <w:rsid w:val="007C281B"/>
    <w:rsid w:val="00815D45"/>
    <w:rsid w:val="008D5B70"/>
    <w:rsid w:val="0098171B"/>
    <w:rsid w:val="009F15BA"/>
    <w:rsid w:val="00B10C47"/>
    <w:rsid w:val="00B73194"/>
    <w:rsid w:val="00BD134C"/>
    <w:rsid w:val="00C653AA"/>
    <w:rsid w:val="00C85B3A"/>
    <w:rsid w:val="00C928C8"/>
    <w:rsid w:val="00C93CDF"/>
    <w:rsid w:val="00CA5007"/>
    <w:rsid w:val="00D276A0"/>
    <w:rsid w:val="00D3739A"/>
    <w:rsid w:val="00D75935"/>
    <w:rsid w:val="00DC1B34"/>
    <w:rsid w:val="00E2313D"/>
    <w:rsid w:val="00E45850"/>
    <w:rsid w:val="00E51158"/>
    <w:rsid w:val="00EF5732"/>
    <w:rsid w:val="00F36FDD"/>
    <w:rsid w:val="00F92096"/>
    <w:rsid w:val="36F60F0D"/>
    <w:rsid w:val="72EEEF2F"/>
    <w:rsid w:val="76BD1EF9"/>
    <w:rsid w:val="77FBEE3D"/>
    <w:rsid w:val="7D76C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CE27C"/>
  <w15:docId w15:val="{3EBB51E4-404C-EA4F-B9CF-D299B75E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hAnsiTheme="minorHAnsi"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320"/>
        <w:tab w:val="right" w:pos="8640"/>
      </w:tabs>
    </w:pPr>
  </w:style>
  <w:style w:type="paragraph" w:styleId="a5">
    <w:name w:val="header"/>
    <w:basedOn w:val="a"/>
    <w:link w:val="a6"/>
    <w:pPr>
      <w:tabs>
        <w:tab w:val="center" w:pos="4320"/>
        <w:tab w:val="right" w:pos="8640"/>
      </w:tabs>
    </w:pPr>
  </w:style>
  <w:style w:type="paragraph" w:styleId="a7">
    <w:name w:val="Normal (Web)"/>
    <w:pPr>
      <w:spacing w:beforeAutospacing="1" w:afterAutospacing="1"/>
    </w:pPr>
    <w:rPr>
      <w:rFonts w:eastAsia="宋体"/>
      <w:sz w:val="24"/>
      <w:szCs w:val="24"/>
    </w:rPr>
  </w:style>
  <w:style w:type="character" w:customStyle="1" w:styleId="a6">
    <w:name w:val="页眉 字符"/>
    <w:basedOn w:val="a0"/>
    <w:link w:val="a5"/>
    <w:rPr>
      <w:rFonts w:asciiTheme="minorHAnsi" w:eastAsiaTheme="minorEastAsia" w:hAnsiTheme="minorHAnsi" w:cstheme="minorBidi"/>
    </w:rPr>
  </w:style>
  <w:style w:type="character" w:customStyle="1" w:styleId="a4">
    <w:name w:val="页脚 字符"/>
    <w:basedOn w:val="a0"/>
    <w:link w:val="a3"/>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401</Words>
  <Characters>2289</Characters>
  <Application>Microsoft Office Word</Application>
  <DocSecurity>0</DocSecurity>
  <Lines>19</Lines>
  <Paragraphs>5</Paragraphs>
  <ScaleCrop>false</ScaleCrop>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snail</dc:creator>
  <cp:lastModifiedBy>Lkfdos</cp:lastModifiedBy>
  <cp:revision>39</cp:revision>
  <dcterms:created xsi:type="dcterms:W3CDTF">2024-07-30T17:02:00Z</dcterms:created>
  <dcterms:modified xsi:type="dcterms:W3CDTF">2024-08-01T00:56:00Z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1033-6.5.2.8766</vt:lpwstr>
  </property>
  <property fmtid="{D5CDD505-2E9C-101B-9397-08002B2CF9AE}" pid="3" name="ICV">
    <vt:lpwstr>FDA7CB7E7FE190D861B7A86628CF0EB8_43</vt:lpwstr>
  </property>
  <property fmtid="{D5CDD505-2E9C-101B-9397-08002B2CF9AE}" pid="4" name="ContentTypeId">
    <vt:lpwstr>0x010100C0BE46E83A237F438E2555154C9B9E14</vt:lpwstr>
  </property>
  <property fmtid="{D5CDD505-2E9C-101B-9397-08002B2CF9AE}" pid="5" name="MediaServiceImageTags">
    <vt:lpwstr/>
  </property>
</Properties>
</file>