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58A2A2" w14:textId="77777777" w:rsidR="009A0F75" w:rsidRPr="00C868EC" w:rsidRDefault="009A0F75" w:rsidP="009A0F75">
      <w:pPr>
        <w:adjustRightInd w:val="0"/>
        <w:rPr>
          <w:rFonts w:hAnsi="Times New Roman"/>
          <w:i/>
          <w:iCs/>
          <w:sz w:val="23"/>
          <w:szCs w:val="23"/>
          <w:lang w:eastAsia="zh-CN" w:bidi="ar-SA"/>
        </w:rPr>
      </w:pPr>
      <w:r w:rsidRPr="00C868EC">
        <w:rPr>
          <w:rFonts w:hAnsi="Times New Roman" w:hint="eastAsia"/>
          <w:i/>
          <w:iCs/>
          <w:sz w:val="23"/>
          <w:szCs w:val="23"/>
          <w:lang w:eastAsia="zh-CN" w:bidi="ar-SA"/>
        </w:rPr>
        <w:t>香港交易及</w:t>
      </w:r>
      <w:proofErr w:type="gramStart"/>
      <w:r w:rsidRPr="00C868EC">
        <w:rPr>
          <w:rFonts w:hAnsi="Times New Roman" w:hint="eastAsia"/>
          <w:i/>
          <w:iCs/>
          <w:sz w:val="23"/>
          <w:szCs w:val="23"/>
          <w:lang w:eastAsia="zh-CN" w:bidi="ar-SA"/>
        </w:rPr>
        <w:t>結算所有限公司</w:t>
      </w:r>
      <w:proofErr w:type="gramEnd"/>
      <w:r w:rsidRPr="00C868EC">
        <w:rPr>
          <w:rFonts w:hAnsi="Times New Roman" w:hint="eastAsia"/>
          <w:i/>
          <w:iCs/>
          <w:sz w:val="23"/>
          <w:szCs w:val="23"/>
          <w:lang w:eastAsia="zh-CN" w:bidi="ar-SA"/>
        </w:rPr>
        <w:t>及香港聯合交易所有限公司</w:t>
      </w:r>
      <w:proofErr w:type="gramStart"/>
      <w:r w:rsidRPr="00C868EC">
        <w:rPr>
          <w:rFonts w:hAnsi="Times New Roman" w:hint="eastAsia"/>
          <w:i/>
          <w:iCs/>
          <w:sz w:val="23"/>
          <w:szCs w:val="23"/>
          <w:lang w:eastAsia="zh-CN" w:bidi="ar-SA"/>
        </w:rPr>
        <w:t>對</w:t>
      </w:r>
      <w:proofErr w:type="gramEnd"/>
      <w:r w:rsidRPr="00C868EC">
        <w:rPr>
          <w:rFonts w:hAnsi="Times New Roman" w:hint="eastAsia"/>
          <w:i/>
          <w:iCs/>
          <w:sz w:val="23"/>
          <w:szCs w:val="23"/>
          <w:lang w:eastAsia="zh-CN" w:bidi="ar-SA"/>
        </w:rPr>
        <w:t>本公告之</w:t>
      </w:r>
      <w:proofErr w:type="gramStart"/>
      <w:r w:rsidRPr="00C868EC">
        <w:rPr>
          <w:rFonts w:hAnsi="Times New Roman" w:hint="eastAsia"/>
          <w:i/>
          <w:iCs/>
          <w:sz w:val="23"/>
          <w:szCs w:val="23"/>
          <w:lang w:eastAsia="zh-CN" w:bidi="ar-SA"/>
        </w:rPr>
        <w:t>內</w:t>
      </w:r>
      <w:proofErr w:type="gramEnd"/>
      <w:r w:rsidRPr="00C868EC">
        <w:rPr>
          <w:rFonts w:hAnsi="Times New Roman" w:hint="eastAsia"/>
          <w:i/>
          <w:iCs/>
          <w:sz w:val="23"/>
          <w:szCs w:val="23"/>
          <w:lang w:eastAsia="zh-CN" w:bidi="ar-SA"/>
        </w:rPr>
        <w:t>容概不負責，</w:t>
      </w:r>
      <w:proofErr w:type="gramStart"/>
      <w:r w:rsidRPr="00C868EC">
        <w:rPr>
          <w:rFonts w:hAnsi="Times New Roman" w:hint="eastAsia"/>
          <w:i/>
          <w:iCs/>
          <w:sz w:val="23"/>
          <w:szCs w:val="23"/>
          <w:lang w:eastAsia="zh-CN" w:bidi="ar-SA"/>
        </w:rPr>
        <w:t>對</w:t>
      </w:r>
      <w:proofErr w:type="gramEnd"/>
      <w:r w:rsidRPr="00C868EC">
        <w:rPr>
          <w:rFonts w:hAnsi="Times New Roman" w:hint="eastAsia"/>
          <w:i/>
          <w:iCs/>
          <w:sz w:val="23"/>
          <w:szCs w:val="23"/>
          <w:lang w:eastAsia="zh-CN" w:bidi="ar-SA"/>
        </w:rPr>
        <w:t>其</w:t>
      </w:r>
      <w:proofErr w:type="gramStart"/>
      <w:r w:rsidRPr="00C868EC">
        <w:rPr>
          <w:rFonts w:hAnsi="Times New Roman" w:hint="eastAsia"/>
          <w:i/>
          <w:iCs/>
          <w:sz w:val="23"/>
          <w:szCs w:val="23"/>
          <w:lang w:eastAsia="zh-CN" w:bidi="ar-SA"/>
        </w:rPr>
        <w:t>準</w:t>
      </w:r>
      <w:proofErr w:type="gramEnd"/>
      <w:r w:rsidRPr="00C868EC">
        <w:rPr>
          <w:rFonts w:hAnsi="Times New Roman" w:hint="eastAsia"/>
          <w:i/>
          <w:iCs/>
          <w:sz w:val="23"/>
          <w:szCs w:val="23"/>
          <w:lang w:eastAsia="zh-CN" w:bidi="ar-SA"/>
        </w:rPr>
        <w:t>確性或</w:t>
      </w:r>
    </w:p>
    <w:p w14:paraId="64642313" w14:textId="77777777" w:rsidR="009A0F75" w:rsidRPr="00C868EC" w:rsidRDefault="009A0F75" w:rsidP="009A0F75">
      <w:pPr>
        <w:adjustRightInd w:val="0"/>
        <w:rPr>
          <w:rFonts w:hAnsi="Times New Roman"/>
          <w:i/>
          <w:iCs/>
          <w:sz w:val="23"/>
          <w:szCs w:val="23"/>
          <w:lang w:eastAsia="zh-CN" w:bidi="ar-SA"/>
        </w:rPr>
      </w:pPr>
      <w:r w:rsidRPr="00C868EC">
        <w:rPr>
          <w:rFonts w:hAnsi="Times New Roman" w:hint="eastAsia"/>
          <w:i/>
          <w:iCs/>
          <w:sz w:val="23"/>
          <w:szCs w:val="23"/>
          <w:lang w:eastAsia="zh-CN" w:bidi="ar-SA"/>
        </w:rPr>
        <w:t>完</w:t>
      </w:r>
      <w:proofErr w:type="gramStart"/>
      <w:r w:rsidRPr="00C868EC">
        <w:rPr>
          <w:rFonts w:hAnsi="Times New Roman" w:hint="eastAsia"/>
          <w:i/>
          <w:iCs/>
          <w:sz w:val="23"/>
          <w:szCs w:val="23"/>
          <w:lang w:eastAsia="zh-CN" w:bidi="ar-SA"/>
        </w:rPr>
        <w:t>備</w:t>
      </w:r>
      <w:proofErr w:type="gramEnd"/>
      <w:r w:rsidRPr="00C868EC">
        <w:rPr>
          <w:rFonts w:hAnsi="Times New Roman" w:hint="eastAsia"/>
          <w:i/>
          <w:iCs/>
          <w:sz w:val="23"/>
          <w:szCs w:val="23"/>
          <w:lang w:eastAsia="zh-CN" w:bidi="ar-SA"/>
        </w:rPr>
        <w:t>性亦無發表聲明，並表明不</w:t>
      </w:r>
      <w:proofErr w:type="gramStart"/>
      <w:r w:rsidRPr="00C868EC">
        <w:rPr>
          <w:rFonts w:hAnsi="Times New Roman" w:hint="eastAsia"/>
          <w:i/>
          <w:iCs/>
          <w:sz w:val="23"/>
          <w:szCs w:val="23"/>
          <w:lang w:eastAsia="zh-CN" w:bidi="ar-SA"/>
        </w:rPr>
        <w:t>會</w:t>
      </w:r>
      <w:proofErr w:type="gramEnd"/>
      <w:r w:rsidRPr="00C868EC">
        <w:rPr>
          <w:rFonts w:hAnsi="Times New Roman" w:hint="eastAsia"/>
          <w:i/>
          <w:iCs/>
          <w:sz w:val="23"/>
          <w:szCs w:val="23"/>
          <w:lang w:eastAsia="zh-CN" w:bidi="ar-SA"/>
        </w:rPr>
        <w:t>就本公告全部或任何部份</w:t>
      </w:r>
      <w:proofErr w:type="gramStart"/>
      <w:r w:rsidRPr="00C868EC">
        <w:rPr>
          <w:rFonts w:hAnsi="Times New Roman" w:hint="eastAsia"/>
          <w:i/>
          <w:iCs/>
          <w:sz w:val="23"/>
          <w:szCs w:val="23"/>
          <w:lang w:eastAsia="zh-CN" w:bidi="ar-SA"/>
        </w:rPr>
        <w:t>內</w:t>
      </w:r>
      <w:proofErr w:type="gramEnd"/>
      <w:r w:rsidRPr="00C868EC">
        <w:rPr>
          <w:rFonts w:hAnsi="Times New Roman" w:hint="eastAsia"/>
          <w:i/>
          <w:iCs/>
          <w:sz w:val="23"/>
          <w:szCs w:val="23"/>
          <w:lang w:eastAsia="zh-CN" w:bidi="ar-SA"/>
        </w:rPr>
        <w:t>容或因倚賴該等</w:t>
      </w:r>
      <w:proofErr w:type="gramStart"/>
      <w:r w:rsidRPr="00C868EC">
        <w:rPr>
          <w:rFonts w:hAnsi="Times New Roman" w:hint="eastAsia"/>
          <w:i/>
          <w:iCs/>
          <w:sz w:val="23"/>
          <w:szCs w:val="23"/>
          <w:lang w:eastAsia="zh-CN" w:bidi="ar-SA"/>
        </w:rPr>
        <w:t>內</w:t>
      </w:r>
      <w:proofErr w:type="gramEnd"/>
      <w:r w:rsidRPr="00C868EC">
        <w:rPr>
          <w:rFonts w:hAnsi="Times New Roman" w:hint="eastAsia"/>
          <w:i/>
          <w:iCs/>
          <w:sz w:val="23"/>
          <w:szCs w:val="23"/>
          <w:lang w:eastAsia="zh-CN" w:bidi="ar-SA"/>
        </w:rPr>
        <w:t>容而引致之任何</w:t>
      </w:r>
    </w:p>
    <w:p w14:paraId="7A09DBB7" w14:textId="0C2BFCFF" w:rsidR="00ED67B4" w:rsidRDefault="009A0F75" w:rsidP="009A0F75">
      <w:pPr>
        <w:pStyle w:val="a9"/>
        <w:pBdr>
          <w:bottom w:val="none" w:sz="0" w:space="0" w:color="auto"/>
        </w:pBdr>
        <w:jc w:val="left"/>
        <w:rPr>
          <w:rFonts w:ascii="Times New Roman"/>
          <w:sz w:val="20"/>
        </w:rPr>
      </w:pPr>
      <w:r w:rsidRPr="00C868EC">
        <w:rPr>
          <w:rFonts w:hAnsi="Times New Roman" w:hint="eastAsia"/>
          <w:i/>
          <w:iCs/>
          <w:sz w:val="23"/>
          <w:szCs w:val="23"/>
          <w:lang w:eastAsia="zh-CN" w:bidi="ar-SA"/>
        </w:rPr>
        <w:t>損失承</w:t>
      </w:r>
      <w:proofErr w:type="gramStart"/>
      <w:r w:rsidRPr="00C868EC">
        <w:rPr>
          <w:rFonts w:hAnsi="Times New Roman" w:hint="eastAsia"/>
          <w:i/>
          <w:iCs/>
          <w:sz w:val="23"/>
          <w:szCs w:val="23"/>
          <w:lang w:eastAsia="zh-CN" w:bidi="ar-SA"/>
        </w:rPr>
        <w:t>擔</w:t>
      </w:r>
      <w:proofErr w:type="gramEnd"/>
      <w:r w:rsidRPr="00C868EC">
        <w:rPr>
          <w:rFonts w:hAnsi="Times New Roman" w:hint="eastAsia"/>
          <w:i/>
          <w:iCs/>
          <w:sz w:val="23"/>
          <w:szCs w:val="23"/>
          <w:lang w:eastAsia="zh-CN" w:bidi="ar-SA"/>
        </w:rPr>
        <w:t>任何責任。</w:t>
      </w:r>
    </w:p>
    <w:p w14:paraId="61CE7493" w14:textId="77777777" w:rsidR="00ED67B4" w:rsidRDefault="00ED67B4" w:rsidP="009A0F75">
      <w:pPr>
        <w:pStyle w:val="a5"/>
        <w:ind w:left="3955"/>
        <w:rPr>
          <w:rFonts w:ascii="Times New Roman"/>
          <w:sz w:val="20"/>
        </w:rPr>
      </w:pPr>
    </w:p>
    <w:p w14:paraId="57AC2759" w14:textId="77777777" w:rsidR="00ED67B4" w:rsidRDefault="00ED67B4">
      <w:pPr>
        <w:pStyle w:val="a5"/>
        <w:ind w:left="3955"/>
        <w:rPr>
          <w:rFonts w:ascii="Times New Roman"/>
          <w:sz w:val="20"/>
        </w:rPr>
      </w:pPr>
    </w:p>
    <w:p w14:paraId="5B45C1DD" w14:textId="1B31919E" w:rsidR="00EC6CD9" w:rsidRDefault="00A26DF3">
      <w:pPr>
        <w:pStyle w:val="a5"/>
        <w:ind w:left="3955"/>
        <w:rPr>
          <w:rFonts w:ascii="Times New Roman"/>
          <w:sz w:val="20"/>
        </w:rPr>
      </w:pPr>
      <w:r>
        <w:rPr>
          <w:rFonts w:ascii="Times New Roman"/>
          <w:noProof/>
          <w:sz w:val="20"/>
          <w:lang w:eastAsia="zh-CN" w:bidi="ar-SA"/>
        </w:rPr>
        <w:drawing>
          <wp:inline distT="0" distB="0" distL="0" distR="0" wp14:anchorId="4469CC22" wp14:editId="29C91C5B">
            <wp:extent cx="1466850" cy="80962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9" cstate="print"/>
                    <a:stretch>
                      <a:fillRect/>
                    </a:stretch>
                  </pic:blipFill>
                  <pic:spPr>
                    <a:xfrm>
                      <a:off x="0" y="0"/>
                      <a:ext cx="1466850" cy="809625"/>
                    </a:xfrm>
                    <a:prstGeom prst="rect">
                      <a:avLst/>
                    </a:prstGeom>
                  </pic:spPr>
                </pic:pic>
              </a:graphicData>
            </a:graphic>
          </wp:inline>
        </w:drawing>
      </w:r>
    </w:p>
    <w:p w14:paraId="40E17188" w14:textId="77777777" w:rsidR="00EC6CD9" w:rsidRDefault="00EC6CD9">
      <w:pPr>
        <w:pStyle w:val="a5"/>
        <w:spacing w:before="1"/>
        <w:rPr>
          <w:rFonts w:ascii="Times New Roman"/>
          <w:sz w:val="24"/>
        </w:rPr>
      </w:pPr>
    </w:p>
    <w:p w14:paraId="23CD4F71" w14:textId="63EDB186" w:rsidR="00EC6CD9" w:rsidRDefault="00A26DF3">
      <w:pPr>
        <w:spacing w:before="85"/>
        <w:ind w:left="2628" w:right="3269"/>
        <w:jc w:val="center"/>
        <w:rPr>
          <w:rFonts w:ascii="Times New Roman"/>
          <w:sz w:val="36"/>
          <w:lang w:eastAsia="zh-TW"/>
        </w:rPr>
      </w:pPr>
      <w:r>
        <w:rPr>
          <w:rFonts w:ascii="Times New Roman"/>
          <w:sz w:val="36"/>
          <w:lang w:eastAsia="zh-TW"/>
        </w:rPr>
        <w:t>CHINA HEALTH GROUP INC.</w:t>
      </w:r>
    </w:p>
    <w:p w14:paraId="166D5E25" w14:textId="59B2CA23" w:rsidR="00EC6CD9" w:rsidRDefault="00EB333D">
      <w:pPr>
        <w:spacing w:before="188"/>
        <w:ind w:left="2629" w:right="3266"/>
        <w:jc w:val="center"/>
        <w:rPr>
          <w:sz w:val="36"/>
          <w:lang w:eastAsia="zh-TW"/>
        </w:rPr>
      </w:pPr>
      <w:r w:rsidRPr="00EB333D">
        <w:rPr>
          <w:rFonts w:eastAsia="PMingLiU" w:hint="eastAsia"/>
          <w:sz w:val="36"/>
          <w:lang w:eastAsia="zh-TW"/>
        </w:rPr>
        <w:t>中國醫療集團有限公司</w:t>
      </w:r>
    </w:p>
    <w:p w14:paraId="7CC17ED7" w14:textId="46E93BAA" w:rsidR="00EC6CD9" w:rsidRDefault="00EB333D">
      <w:pPr>
        <w:pStyle w:val="a5"/>
        <w:spacing w:before="249"/>
        <w:ind w:left="2629" w:right="3264"/>
        <w:jc w:val="center"/>
        <w:rPr>
          <w:lang w:eastAsia="zh-TW"/>
        </w:rPr>
      </w:pPr>
      <w:r w:rsidRPr="00EB333D">
        <w:rPr>
          <w:rFonts w:eastAsia="PMingLiU" w:hint="eastAsia"/>
          <w:lang w:eastAsia="zh-TW"/>
        </w:rPr>
        <w:t>（以「萬全醫療集團」名稱在香港經營業務）</w:t>
      </w:r>
    </w:p>
    <w:p w14:paraId="262BF04C" w14:textId="1169A0C3" w:rsidR="00EC6CD9" w:rsidRDefault="00EB333D">
      <w:pPr>
        <w:spacing w:before="129"/>
        <w:ind w:left="2629" w:right="3158"/>
        <w:jc w:val="center"/>
        <w:rPr>
          <w:rFonts w:ascii="Times New Roman" w:eastAsia="Times New Roman"/>
          <w:i/>
          <w:sz w:val="21"/>
          <w:lang w:eastAsia="zh-TW"/>
        </w:rPr>
      </w:pPr>
      <w:r w:rsidRPr="00EB333D">
        <w:rPr>
          <w:rFonts w:ascii="Times New Roman" w:eastAsia="PMingLiU"/>
          <w:i/>
          <w:sz w:val="21"/>
          <w:lang w:eastAsia="zh-TW"/>
        </w:rPr>
        <w:t>(</w:t>
      </w:r>
      <w:r w:rsidRPr="00EB333D">
        <w:rPr>
          <w:rFonts w:eastAsia="PMingLiU" w:hint="eastAsia"/>
          <w:lang w:eastAsia="zh-TW"/>
        </w:rPr>
        <w:t>於開曼群島註冊成立之有限公司</w:t>
      </w:r>
      <w:r w:rsidRPr="00EB333D">
        <w:rPr>
          <w:rFonts w:ascii="Times New Roman" w:eastAsia="PMingLiU"/>
          <w:i/>
          <w:sz w:val="21"/>
          <w:lang w:eastAsia="zh-TW"/>
        </w:rPr>
        <w:t>)</w:t>
      </w:r>
    </w:p>
    <w:p w14:paraId="7EAE668D" w14:textId="5D6028CA" w:rsidR="00EC6CD9" w:rsidRDefault="00EB333D">
      <w:pPr>
        <w:pStyle w:val="a5"/>
        <w:spacing w:before="138"/>
        <w:ind w:left="2629" w:right="3264"/>
        <w:jc w:val="center"/>
        <w:rPr>
          <w:rFonts w:ascii="Times New Roman" w:eastAsia="Times New Roman"/>
          <w:lang w:eastAsia="zh-TW"/>
        </w:rPr>
      </w:pPr>
      <w:r w:rsidRPr="00EB333D">
        <w:rPr>
          <w:rFonts w:ascii="Times New Roman" w:eastAsia="PMingLiU"/>
          <w:lang w:eastAsia="zh-TW"/>
        </w:rPr>
        <w:t>(</w:t>
      </w:r>
      <w:r w:rsidRPr="00EB333D">
        <w:rPr>
          <w:rFonts w:eastAsia="PMingLiU" w:hint="eastAsia"/>
          <w:lang w:eastAsia="zh-TW"/>
        </w:rPr>
        <w:t>股份代號</w:t>
      </w:r>
      <w:r w:rsidRPr="00EB333D">
        <w:rPr>
          <w:rFonts w:ascii="Times New Roman" w:eastAsia="PMingLiU"/>
          <w:lang w:eastAsia="zh-TW"/>
        </w:rPr>
        <w:t>: 08225)</w:t>
      </w:r>
    </w:p>
    <w:p w14:paraId="03A1325A" w14:textId="77777777" w:rsidR="00EC6CD9" w:rsidRDefault="00EC6CD9">
      <w:pPr>
        <w:pStyle w:val="a5"/>
        <w:rPr>
          <w:rFonts w:ascii="Times New Roman"/>
          <w:sz w:val="22"/>
          <w:lang w:eastAsia="zh-TW"/>
        </w:rPr>
      </w:pPr>
    </w:p>
    <w:p w14:paraId="53C6329C" w14:textId="05E28D13" w:rsidR="00C54D15" w:rsidRPr="00BD31D5" w:rsidRDefault="00EB333D" w:rsidP="00C54D15">
      <w:pPr>
        <w:pStyle w:val="a5"/>
        <w:spacing w:before="231" w:line="301" w:lineRule="exact"/>
        <w:ind w:left="7"/>
        <w:jc w:val="center"/>
        <w:rPr>
          <w:rFonts w:eastAsiaTheme="minorEastAsia"/>
          <w:b/>
          <w:bCs/>
          <w:spacing w:val="-1"/>
          <w:position w:val="3"/>
          <w:sz w:val="32"/>
          <w:szCs w:val="32"/>
          <w:lang w:eastAsia="zh-CN"/>
        </w:rPr>
      </w:pPr>
      <w:r w:rsidRPr="00BD31D5">
        <w:rPr>
          <w:rFonts w:eastAsia="PMingLiU" w:hint="eastAsia"/>
          <w:b/>
          <w:bCs/>
          <w:spacing w:val="-1"/>
          <w:position w:val="3"/>
          <w:sz w:val="32"/>
          <w:szCs w:val="32"/>
          <w:lang w:eastAsia="zh-TW"/>
        </w:rPr>
        <w:t>關於財務資助的補充公告</w:t>
      </w:r>
    </w:p>
    <w:p w14:paraId="65645C6B" w14:textId="77777777" w:rsidR="00EC6CD9" w:rsidRPr="00C54D15" w:rsidRDefault="00EC6CD9">
      <w:pPr>
        <w:pStyle w:val="a5"/>
        <w:rPr>
          <w:sz w:val="20"/>
          <w:lang w:eastAsia="zh-TW"/>
        </w:rPr>
      </w:pPr>
    </w:p>
    <w:p w14:paraId="1937E21A" w14:textId="73C0D9CE" w:rsidR="007523C1" w:rsidRDefault="00EB333D" w:rsidP="00263D09">
      <w:pPr>
        <w:adjustRightInd w:val="0"/>
        <w:ind w:firstLineChars="200" w:firstLine="420"/>
        <w:rPr>
          <w:rFonts w:hAnsi="Times New Roman"/>
          <w:sz w:val="21"/>
          <w:szCs w:val="21"/>
          <w:lang w:eastAsia="zh-TW" w:bidi="ar-SA"/>
        </w:rPr>
      </w:pPr>
      <w:r w:rsidRPr="00EB333D">
        <w:rPr>
          <w:rFonts w:eastAsia="PMingLiU" w:hAnsi="Times New Roman" w:hint="eastAsia"/>
          <w:sz w:val="21"/>
          <w:szCs w:val="21"/>
          <w:lang w:eastAsia="zh-TW" w:bidi="ar-SA"/>
        </w:rPr>
        <w:t>根據《創業板規則》第</w:t>
      </w:r>
      <w:r w:rsidRPr="00EB333D">
        <w:rPr>
          <w:rFonts w:eastAsia="PMingLiU" w:hAnsi="Times New Roman"/>
          <w:sz w:val="21"/>
          <w:szCs w:val="21"/>
          <w:lang w:eastAsia="zh-TW" w:bidi="ar-SA"/>
        </w:rPr>
        <w:t>20.22</w:t>
      </w:r>
      <w:r w:rsidRPr="00EB333D">
        <w:rPr>
          <w:rFonts w:eastAsia="PMingLiU" w:hAnsi="Times New Roman" w:hint="eastAsia"/>
          <w:sz w:val="21"/>
          <w:szCs w:val="21"/>
          <w:lang w:eastAsia="zh-TW" w:bidi="ar-SA"/>
        </w:rPr>
        <w:t>，本集團和關聯方達成的延長信貸條款構成財務資助。但由於疫情不可抗</w:t>
      </w:r>
    </w:p>
    <w:p w14:paraId="0FE9B639" w14:textId="27BD49B0" w:rsidR="007523C1" w:rsidRDefault="00EB333D" w:rsidP="007523C1">
      <w:pPr>
        <w:adjustRightInd w:val="0"/>
        <w:rPr>
          <w:rFonts w:hAnsi="Times New Roman"/>
          <w:sz w:val="21"/>
          <w:szCs w:val="21"/>
          <w:lang w:eastAsia="zh-TW" w:bidi="ar-SA"/>
        </w:rPr>
      </w:pPr>
      <w:r w:rsidRPr="00EB333D">
        <w:rPr>
          <w:rFonts w:eastAsia="PMingLiU" w:hAnsi="Times New Roman" w:hint="eastAsia"/>
          <w:sz w:val="21"/>
          <w:szCs w:val="21"/>
          <w:lang w:eastAsia="zh-TW" w:bidi="ar-SA"/>
        </w:rPr>
        <w:t>拒的原因，本集團的關聯公司對本集團提供服務的商業價值和品質一直提出異議。</w:t>
      </w:r>
    </w:p>
    <w:p w14:paraId="4ECCB92B" w14:textId="77777777" w:rsidR="002067E9" w:rsidRDefault="002067E9" w:rsidP="007523C1">
      <w:pPr>
        <w:adjustRightInd w:val="0"/>
        <w:rPr>
          <w:rFonts w:hAnsi="Times New Roman"/>
          <w:sz w:val="21"/>
          <w:szCs w:val="21"/>
          <w:lang w:eastAsia="zh-TW" w:bidi="ar-SA"/>
        </w:rPr>
      </w:pPr>
    </w:p>
    <w:p w14:paraId="140053B8" w14:textId="31F3E608" w:rsidR="007523C1" w:rsidRPr="00263D09" w:rsidRDefault="00EB333D" w:rsidP="00263D09">
      <w:pPr>
        <w:adjustRightInd w:val="0"/>
        <w:ind w:firstLineChars="200" w:firstLine="420"/>
        <w:rPr>
          <w:rFonts w:hAnsi="Times New Roman"/>
          <w:b/>
          <w:bCs/>
          <w:sz w:val="21"/>
          <w:szCs w:val="21"/>
          <w:lang w:eastAsia="zh-CN" w:bidi="ar-SA"/>
        </w:rPr>
      </w:pPr>
      <w:r w:rsidRPr="00EB333D">
        <w:rPr>
          <w:rFonts w:eastAsia="PMingLiU" w:hAnsi="Times New Roman" w:hint="eastAsia"/>
          <w:b/>
          <w:bCs/>
          <w:sz w:val="21"/>
          <w:szCs w:val="21"/>
          <w:lang w:eastAsia="zh-TW" w:bidi="ar-SA"/>
        </w:rPr>
        <w:t>額外資訊披露</w:t>
      </w:r>
    </w:p>
    <w:p w14:paraId="6B98775C" w14:textId="6451717C" w:rsidR="007523C1" w:rsidRDefault="00EB333D" w:rsidP="00263D09">
      <w:pPr>
        <w:adjustRightInd w:val="0"/>
        <w:ind w:firstLineChars="200" w:firstLine="420"/>
        <w:rPr>
          <w:rFonts w:hAnsi="Times New Roman"/>
          <w:sz w:val="21"/>
          <w:szCs w:val="21"/>
          <w:lang w:eastAsia="zh-CN" w:bidi="ar-SA"/>
        </w:rPr>
      </w:pPr>
      <w:r w:rsidRPr="005A0649">
        <w:rPr>
          <w:rFonts w:eastAsia="PMingLiU" w:hAnsi="Times New Roman" w:hint="eastAsia"/>
          <w:sz w:val="21"/>
          <w:szCs w:val="21"/>
          <w:lang w:eastAsia="zh-TW" w:bidi="ar-SA"/>
        </w:rPr>
        <w:t>下文載列於二零二三年十二月三十一日於本集團所提供的財務資助。</w:t>
      </w:r>
    </w:p>
    <w:p w14:paraId="76F88491" w14:textId="4F418B46" w:rsidR="00F61C87" w:rsidRDefault="00C86883" w:rsidP="00263D09">
      <w:pPr>
        <w:adjustRightInd w:val="0"/>
        <w:ind w:firstLineChars="200" w:firstLine="420"/>
        <w:rPr>
          <w:rFonts w:hAnsi="Times New Roman"/>
          <w:sz w:val="21"/>
          <w:szCs w:val="21"/>
          <w:lang w:eastAsia="zh-CN" w:bidi="ar-SA"/>
        </w:rPr>
      </w:pPr>
      <w:r>
        <w:rPr>
          <w:rFonts w:hAnsi="Times New Roman" w:hint="eastAsia"/>
          <w:sz w:val="21"/>
          <w:szCs w:val="21"/>
          <w:lang w:eastAsia="zh-CN" w:bidi="ar-SA"/>
        </w:rPr>
        <w:t xml:space="preserve"> </w:t>
      </w:r>
      <w:r>
        <w:rPr>
          <w:rFonts w:hAnsi="Times New Roman"/>
          <w:sz w:val="21"/>
          <w:szCs w:val="21"/>
          <w:lang w:eastAsia="zh-CN" w:bidi="ar-SA"/>
        </w:rPr>
        <w:t xml:space="preserve">               </w:t>
      </w:r>
    </w:p>
    <w:p w14:paraId="5327E321" w14:textId="62D0719B" w:rsidR="007523C1" w:rsidRDefault="00EB333D" w:rsidP="00263D09">
      <w:pPr>
        <w:adjustRightInd w:val="0"/>
        <w:ind w:firstLineChars="200" w:firstLine="420"/>
        <w:rPr>
          <w:rFonts w:hAnsi="Times New Roman"/>
          <w:sz w:val="21"/>
          <w:szCs w:val="21"/>
          <w:lang w:eastAsia="zh-CN" w:bidi="ar-SA"/>
        </w:rPr>
      </w:pPr>
      <w:r w:rsidRPr="005A0649">
        <w:rPr>
          <w:rFonts w:eastAsia="PMingLiU" w:hAnsi="Times New Roman" w:hint="eastAsia"/>
          <w:sz w:val="21"/>
          <w:szCs w:val="21"/>
          <w:lang w:eastAsia="zh-TW" w:bidi="ar-SA"/>
        </w:rPr>
        <w:t>應收貿易賬款</w:t>
      </w:r>
      <w:r w:rsidRPr="005A0649">
        <w:rPr>
          <w:rFonts w:eastAsia="PMingLiU" w:hAnsi="Times New Roman"/>
          <w:sz w:val="21"/>
          <w:szCs w:val="21"/>
          <w:lang w:eastAsia="zh-TW" w:bidi="ar-SA"/>
        </w:rPr>
        <w:t>-</w:t>
      </w:r>
      <w:r w:rsidRPr="005A0649">
        <w:rPr>
          <w:rFonts w:eastAsia="PMingLiU" w:hAnsi="Times New Roman" w:hint="eastAsia"/>
          <w:sz w:val="21"/>
          <w:szCs w:val="21"/>
          <w:lang w:eastAsia="zh-TW" w:bidi="ar-SA"/>
        </w:rPr>
        <w:t>關聯方約人民幣</w:t>
      </w:r>
      <w:r w:rsidRPr="005A0649">
        <w:rPr>
          <w:rFonts w:eastAsia="PMingLiU" w:hAnsi="Times New Roman"/>
          <w:sz w:val="21"/>
          <w:szCs w:val="21"/>
          <w:lang w:eastAsia="zh-TW" w:bidi="ar-SA"/>
        </w:rPr>
        <w:t xml:space="preserve"> 57,999,000</w:t>
      </w:r>
      <w:r w:rsidRPr="005A0649">
        <w:rPr>
          <w:rFonts w:eastAsia="PMingLiU" w:hAnsi="Times New Roman" w:hint="eastAsia"/>
          <w:sz w:val="21"/>
          <w:szCs w:val="21"/>
          <w:lang w:eastAsia="zh-TW" w:bidi="ar-SA"/>
        </w:rPr>
        <w:t>元，收款信用期延長至未來兩年。</w:t>
      </w:r>
    </w:p>
    <w:p w14:paraId="57AF0AE2" w14:textId="77777777" w:rsidR="002067E9" w:rsidRDefault="002067E9" w:rsidP="00263D09">
      <w:pPr>
        <w:adjustRightInd w:val="0"/>
        <w:ind w:firstLineChars="200" w:firstLine="420"/>
        <w:rPr>
          <w:rFonts w:hAnsi="Times New Roman"/>
          <w:sz w:val="21"/>
          <w:szCs w:val="21"/>
          <w:lang w:eastAsia="zh-CN" w:bidi="ar-SA"/>
        </w:rPr>
      </w:pPr>
    </w:p>
    <w:p w14:paraId="32176960" w14:textId="54424EF0" w:rsidR="007523C1" w:rsidRDefault="00EB333D" w:rsidP="007250C8">
      <w:pPr>
        <w:adjustRightInd w:val="0"/>
        <w:ind w:firstLineChars="200" w:firstLine="420"/>
        <w:rPr>
          <w:rFonts w:hAnsi="Times New Roman"/>
          <w:sz w:val="21"/>
          <w:szCs w:val="21"/>
          <w:lang w:eastAsia="zh-TW" w:bidi="ar-SA"/>
        </w:rPr>
      </w:pPr>
      <w:r w:rsidRPr="005A0649">
        <w:rPr>
          <w:rFonts w:eastAsia="PMingLiU" w:hAnsi="Times New Roman" w:hint="eastAsia"/>
          <w:sz w:val="21"/>
          <w:szCs w:val="21"/>
          <w:lang w:eastAsia="zh-TW" w:bidi="ar-SA"/>
        </w:rPr>
        <w:t>如</w:t>
      </w:r>
      <w:r w:rsidRPr="005A0649">
        <w:rPr>
          <w:rFonts w:eastAsia="PMingLiU" w:hAnsi="Times New Roman"/>
          <w:sz w:val="21"/>
          <w:szCs w:val="21"/>
          <w:lang w:eastAsia="zh-TW" w:bidi="ar-SA"/>
        </w:rPr>
        <w:t xml:space="preserve">2023 </w:t>
      </w:r>
      <w:r w:rsidRPr="005A0649">
        <w:rPr>
          <w:rFonts w:eastAsia="PMingLiU" w:hAnsi="Times New Roman" w:hint="eastAsia"/>
          <w:sz w:val="21"/>
          <w:szCs w:val="21"/>
          <w:lang w:eastAsia="zh-TW" w:bidi="ar-SA"/>
        </w:rPr>
        <w:t>年年報</w:t>
      </w:r>
      <w:r w:rsidRPr="005A0649">
        <w:rPr>
          <w:rFonts w:eastAsia="PMingLiU" w:hAnsi="Times New Roman"/>
          <w:sz w:val="21"/>
          <w:szCs w:val="21"/>
          <w:lang w:eastAsia="zh-TW" w:bidi="ar-SA"/>
        </w:rPr>
        <w:t xml:space="preserve">63 </w:t>
      </w:r>
      <w:r w:rsidRPr="005A0649">
        <w:rPr>
          <w:rFonts w:eastAsia="PMingLiU" w:hAnsi="Times New Roman" w:hint="eastAsia"/>
          <w:sz w:val="21"/>
          <w:szCs w:val="21"/>
          <w:lang w:eastAsia="zh-TW" w:bidi="ar-SA"/>
        </w:rPr>
        <w:t>頁（</w:t>
      </w:r>
      <w:proofErr w:type="spellStart"/>
      <w:r w:rsidRPr="005A0649">
        <w:rPr>
          <w:rFonts w:eastAsia="PMingLiU" w:hAnsi="Times New Roman"/>
          <w:sz w:val="21"/>
          <w:szCs w:val="21"/>
          <w:lang w:eastAsia="zh-TW" w:bidi="ar-SA"/>
        </w:rPr>
        <w:t>i</w:t>
      </w:r>
      <w:proofErr w:type="spellEnd"/>
      <w:r w:rsidRPr="005A0649">
        <w:rPr>
          <w:rFonts w:eastAsia="PMingLiU" w:hAnsi="Times New Roman" w:hint="eastAsia"/>
          <w:sz w:val="21"/>
          <w:szCs w:val="21"/>
          <w:lang w:eastAsia="zh-TW" w:bidi="ar-SA"/>
        </w:rPr>
        <w:t>）所述，本集團（公司）董事及最終控股股東郭夏先生控制的關聯公司的應收貿易賬款約人民幣</w:t>
      </w:r>
      <w:r w:rsidRPr="005A0649">
        <w:rPr>
          <w:rFonts w:eastAsia="PMingLiU" w:hAnsi="Times New Roman"/>
          <w:sz w:val="21"/>
          <w:szCs w:val="21"/>
          <w:lang w:eastAsia="zh-TW" w:bidi="ar-SA"/>
        </w:rPr>
        <w:t xml:space="preserve">57,999,000 </w:t>
      </w:r>
      <w:r w:rsidRPr="005A0649">
        <w:rPr>
          <w:rFonts w:eastAsia="PMingLiU" w:hAnsi="Times New Roman" w:hint="eastAsia"/>
          <w:sz w:val="21"/>
          <w:szCs w:val="21"/>
          <w:lang w:eastAsia="zh-TW" w:bidi="ar-SA"/>
        </w:rPr>
        <w:t>元。關聯方確認在未來兩年進行還款，即</w:t>
      </w:r>
      <w:r w:rsidRPr="005A0649">
        <w:rPr>
          <w:rFonts w:eastAsia="PMingLiU" w:hAnsi="Times New Roman"/>
          <w:sz w:val="21"/>
          <w:szCs w:val="21"/>
          <w:lang w:eastAsia="zh-TW" w:bidi="ar-SA"/>
        </w:rPr>
        <w:t xml:space="preserve">2025 </w:t>
      </w:r>
      <w:r w:rsidRPr="005A0649">
        <w:rPr>
          <w:rFonts w:eastAsia="PMingLiU" w:hAnsi="Times New Roman" w:hint="eastAsia"/>
          <w:sz w:val="21"/>
          <w:szCs w:val="21"/>
          <w:lang w:eastAsia="zh-TW" w:bidi="ar-SA"/>
        </w:rPr>
        <w:t>年</w:t>
      </w:r>
      <w:r w:rsidRPr="005A0649">
        <w:rPr>
          <w:rFonts w:eastAsia="PMingLiU" w:hAnsi="Times New Roman"/>
          <w:sz w:val="21"/>
          <w:szCs w:val="21"/>
          <w:lang w:eastAsia="zh-TW" w:bidi="ar-SA"/>
        </w:rPr>
        <w:t xml:space="preserve">12 </w:t>
      </w:r>
      <w:r w:rsidRPr="005A0649">
        <w:rPr>
          <w:rFonts w:eastAsia="PMingLiU" w:hAnsi="Times New Roman" w:hint="eastAsia"/>
          <w:sz w:val="21"/>
          <w:szCs w:val="21"/>
          <w:lang w:eastAsia="zh-TW" w:bidi="ar-SA"/>
        </w:rPr>
        <w:t>月</w:t>
      </w:r>
      <w:r w:rsidRPr="005A0649">
        <w:rPr>
          <w:rFonts w:eastAsia="PMingLiU" w:hAnsi="Times New Roman"/>
          <w:sz w:val="21"/>
          <w:szCs w:val="21"/>
          <w:lang w:eastAsia="zh-TW" w:bidi="ar-SA"/>
        </w:rPr>
        <w:t xml:space="preserve">31 </w:t>
      </w:r>
      <w:r w:rsidRPr="005A0649">
        <w:rPr>
          <w:rFonts w:eastAsia="PMingLiU" w:hAnsi="Times New Roman" w:hint="eastAsia"/>
          <w:sz w:val="21"/>
          <w:szCs w:val="21"/>
          <w:lang w:eastAsia="zh-TW" w:bidi="ar-SA"/>
        </w:rPr>
        <w:t>日前完成。該等應收貿易賬款與其他應收貿易賬款一樣為無抵押、無擔保、免息及附帶一般商業條款，此交易對公司會計利潤不產生影響。</w:t>
      </w:r>
    </w:p>
    <w:p w14:paraId="1CBE841C" w14:textId="74460779" w:rsidR="006D1352" w:rsidRDefault="00EB333D" w:rsidP="00F82CCE">
      <w:pPr>
        <w:adjustRightInd w:val="0"/>
        <w:ind w:firstLineChars="200" w:firstLine="420"/>
        <w:rPr>
          <w:rFonts w:hAnsi="Times New Roman"/>
          <w:sz w:val="21"/>
          <w:szCs w:val="21"/>
          <w:lang w:eastAsia="zh-TW" w:bidi="ar-SA"/>
        </w:rPr>
      </w:pPr>
      <w:r w:rsidRPr="005A0649">
        <w:rPr>
          <w:rFonts w:eastAsia="PMingLiU" w:hAnsi="Times New Roman" w:hint="eastAsia"/>
          <w:sz w:val="21"/>
          <w:szCs w:val="21"/>
          <w:lang w:eastAsia="zh-TW" w:bidi="ar-SA"/>
        </w:rPr>
        <w:t>延期收款對手為</w:t>
      </w:r>
      <w:r w:rsidRPr="005A0649">
        <w:rPr>
          <w:rFonts w:eastAsia="PMingLiU" w:hAnsi="Times New Roman"/>
          <w:sz w:val="21"/>
          <w:szCs w:val="21"/>
          <w:lang w:eastAsia="zh-TW" w:bidi="ar-SA"/>
        </w:rPr>
        <w:t>2022</w:t>
      </w:r>
      <w:r w:rsidRPr="005A0649">
        <w:rPr>
          <w:rFonts w:eastAsia="PMingLiU" w:hAnsi="Times New Roman" w:hint="eastAsia"/>
          <w:sz w:val="21"/>
          <w:szCs w:val="21"/>
          <w:lang w:eastAsia="zh-TW" w:bidi="ar-SA"/>
        </w:rPr>
        <w:t>年</w:t>
      </w:r>
      <w:r w:rsidRPr="005A0649">
        <w:rPr>
          <w:rFonts w:eastAsia="PMingLiU" w:hAnsi="Times New Roman"/>
          <w:sz w:val="21"/>
          <w:szCs w:val="21"/>
          <w:lang w:eastAsia="zh-TW" w:bidi="ar-SA"/>
        </w:rPr>
        <w:t>6</w:t>
      </w:r>
      <w:r w:rsidRPr="005A0649">
        <w:rPr>
          <w:rFonts w:eastAsia="PMingLiU" w:hAnsi="Times New Roman" w:hint="eastAsia"/>
          <w:sz w:val="21"/>
          <w:szCs w:val="21"/>
          <w:lang w:eastAsia="zh-TW" w:bidi="ar-SA"/>
        </w:rPr>
        <w:t>月</w:t>
      </w:r>
      <w:r w:rsidRPr="005A0649">
        <w:rPr>
          <w:rFonts w:eastAsia="PMingLiU" w:hAnsi="Times New Roman"/>
          <w:sz w:val="21"/>
          <w:szCs w:val="21"/>
          <w:lang w:eastAsia="zh-TW" w:bidi="ar-SA"/>
        </w:rPr>
        <w:t>24</w:t>
      </w:r>
      <w:r w:rsidRPr="005A0649">
        <w:rPr>
          <w:rFonts w:eastAsia="PMingLiU" w:hAnsi="Times New Roman" w:hint="eastAsia"/>
          <w:sz w:val="21"/>
          <w:szCs w:val="21"/>
          <w:lang w:eastAsia="zh-TW" w:bidi="ar-SA"/>
        </w:rPr>
        <w:t>日持續關連交易通函中指的萬特海南、萬全廈門。因疫情不可抗拒的原因收款出現延遲，採用分期還款方式處理。</w:t>
      </w:r>
    </w:p>
    <w:p w14:paraId="72053FB7" w14:textId="49056D21" w:rsidR="00E014D4" w:rsidRDefault="00EB333D" w:rsidP="00F82CCE">
      <w:pPr>
        <w:adjustRightInd w:val="0"/>
        <w:ind w:firstLineChars="200" w:firstLine="420"/>
        <w:rPr>
          <w:rFonts w:hAnsi="Times New Roman"/>
          <w:sz w:val="21"/>
          <w:szCs w:val="21"/>
          <w:lang w:eastAsia="zh-CN" w:bidi="ar-SA"/>
        </w:rPr>
      </w:pPr>
      <w:r w:rsidRPr="005A0649">
        <w:rPr>
          <w:rFonts w:eastAsia="PMingLiU" w:hAnsi="Times New Roman" w:hint="eastAsia"/>
          <w:sz w:val="21"/>
          <w:szCs w:val="21"/>
          <w:lang w:eastAsia="zh-TW" w:bidi="ar-SA"/>
        </w:rPr>
        <w:t>此交易為一次性交易。</w:t>
      </w:r>
    </w:p>
    <w:p w14:paraId="47324817" w14:textId="4F264D53" w:rsidR="007523C1" w:rsidRDefault="00EB333D" w:rsidP="00263D09">
      <w:pPr>
        <w:adjustRightInd w:val="0"/>
        <w:ind w:firstLineChars="200" w:firstLine="420"/>
        <w:rPr>
          <w:rFonts w:hAnsi="Times New Roman"/>
          <w:sz w:val="21"/>
          <w:szCs w:val="21"/>
          <w:lang w:eastAsia="zh-CN" w:bidi="ar-SA"/>
        </w:rPr>
      </w:pPr>
      <w:r w:rsidRPr="005A0649">
        <w:rPr>
          <w:rFonts w:eastAsia="PMingLiU" w:hAnsi="Times New Roman" w:hint="eastAsia"/>
          <w:sz w:val="21"/>
          <w:szCs w:val="21"/>
          <w:lang w:eastAsia="zh-TW" w:bidi="ar-SA"/>
        </w:rPr>
        <w:t>本集團的合併財務狀況表是根據</w:t>
      </w:r>
      <w:r w:rsidRPr="005A0649">
        <w:rPr>
          <w:rFonts w:eastAsia="PMingLiU" w:hAnsi="Times New Roman"/>
          <w:sz w:val="21"/>
          <w:szCs w:val="21"/>
          <w:lang w:eastAsia="zh-TW" w:bidi="ar-SA"/>
        </w:rPr>
        <w:t xml:space="preserve">2023 </w:t>
      </w:r>
      <w:r w:rsidRPr="005A0649">
        <w:rPr>
          <w:rFonts w:eastAsia="PMingLiU" w:hAnsi="Times New Roman" w:hint="eastAsia"/>
          <w:sz w:val="21"/>
          <w:szCs w:val="21"/>
          <w:lang w:eastAsia="zh-TW" w:bidi="ar-SA"/>
        </w:rPr>
        <w:t>年</w:t>
      </w:r>
      <w:r w:rsidRPr="005A0649">
        <w:rPr>
          <w:rFonts w:eastAsia="PMingLiU" w:hAnsi="Times New Roman"/>
          <w:sz w:val="21"/>
          <w:szCs w:val="21"/>
          <w:lang w:eastAsia="zh-TW" w:bidi="ar-SA"/>
        </w:rPr>
        <w:t xml:space="preserve">12 </w:t>
      </w:r>
      <w:r w:rsidRPr="005A0649">
        <w:rPr>
          <w:rFonts w:eastAsia="PMingLiU" w:hAnsi="Times New Roman" w:hint="eastAsia"/>
          <w:sz w:val="21"/>
          <w:szCs w:val="21"/>
          <w:lang w:eastAsia="zh-TW" w:bidi="ar-SA"/>
        </w:rPr>
        <w:t>月</w:t>
      </w:r>
      <w:r w:rsidRPr="005A0649">
        <w:rPr>
          <w:rFonts w:eastAsia="PMingLiU" w:hAnsi="Times New Roman"/>
          <w:sz w:val="21"/>
          <w:szCs w:val="21"/>
          <w:lang w:eastAsia="zh-TW" w:bidi="ar-SA"/>
        </w:rPr>
        <w:t xml:space="preserve">31 </w:t>
      </w:r>
      <w:r w:rsidRPr="005A0649">
        <w:rPr>
          <w:rFonts w:eastAsia="PMingLiU" w:hAnsi="Times New Roman" w:hint="eastAsia"/>
          <w:sz w:val="21"/>
          <w:szCs w:val="21"/>
          <w:lang w:eastAsia="zh-TW" w:bidi="ar-SA"/>
        </w:rPr>
        <w:t>日的財務狀況表編制，符合本集團的會計政策，並已作</w:t>
      </w:r>
    </w:p>
    <w:p w14:paraId="6F046761" w14:textId="112FB273" w:rsidR="007523C1" w:rsidRDefault="00EB333D" w:rsidP="007523C1">
      <w:pPr>
        <w:adjustRightInd w:val="0"/>
        <w:rPr>
          <w:rFonts w:hAnsi="Times New Roman"/>
          <w:sz w:val="21"/>
          <w:szCs w:val="21"/>
          <w:lang w:eastAsia="zh-CN" w:bidi="ar-SA"/>
        </w:rPr>
      </w:pPr>
      <w:r w:rsidRPr="005A0649">
        <w:rPr>
          <w:rFonts w:eastAsia="PMingLiU" w:hAnsi="Times New Roman" w:hint="eastAsia"/>
          <w:sz w:val="21"/>
          <w:szCs w:val="21"/>
          <w:lang w:eastAsia="zh-TW" w:bidi="ar-SA"/>
        </w:rPr>
        <w:t>出調整以符合本集團的主要會計政策，以及按財務狀況表的主要分類重新分類。</w:t>
      </w:r>
    </w:p>
    <w:p w14:paraId="767CDDAE" w14:textId="77777777" w:rsidR="002067E9" w:rsidRDefault="002067E9" w:rsidP="007523C1">
      <w:pPr>
        <w:adjustRightInd w:val="0"/>
        <w:rPr>
          <w:rFonts w:hAnsi="Times New Roman"/>
          <w:sz w:val="21"/>
          <w:szCs w:val="21"/>
          <w:lang w:eastAsia="zh-CN" w:bidi="ar-SA"/>
        </w:rPr>
      </w:pPr>
    </w:p>
    <w:p w14:paraId="16FEE9F4" w14:textId="6D357747" w:rsidR="007523C1" w:rsidRDefault="00EB333D" w:rsidP="00263D09">
      <w:pPr>
        <w:adjustRightInd w:val="0"/>
        <w:ind w:firstLineChars="200" w:firstLine="420"/>
        <w:rPr>
          <w:rFonts w:hAnsi="Times New Roman"/>
          <w:b/>
          <w:bCs/>
          <w:sz w:val="21"/>
          <w:szCs w:val="21"/>
          <w:lang w:eastAsia="zh-CN" w:bidi="ar-SA"/>
        </w:rPr>
      </w:pPr>
      <w:r w:rsidRPr="005A0649">
        <w:rPr>
          <w:rFonts w:eastAsia="PMingLiU" w:hAnsi="Times New Roman" w:hint="eastAsia"/>
          <w:b/>
          <w:bCs/>
          <w:sz w:val="21"/>
          <w:szCs w:val="21"/>
          <w:lang w:eastAsia="zh-TW" w:bidi="ar-SA"/>
        </w:rPr>
        <w:t>上市規則涵義</w:t>
      </w:r>
    </w:p>
    <w:p w14:paraId="5F30A1CE" w14:textId="77777777" w:rsidR="002067E9" w:rsidRPr="00263D09" w:rsidRDefault="002067E9" w:rsidP="00263D09">
      <w:pPr>
        <w:adjustRightInd w:val="0"/>
        <w:ind w:firstLineChars="200" w:firstLine="422"/>
        <w:rPr>
          <w:rFonts w:hAnsi="Times New Roman"/>
          <w:b/>
          <w:bCs/>
          <w:sz w:val="21"/>
          <w:szCs w:val="21"/>
          <w:lang w:eastAsia="zh-CN" w:bidi="ar-SA"/>
        </w:rPr>
      </w:pPr>
    </w:p>
    <w:p w14:paraId="4C61F6E7" w14:textId="7F54F144" w:rsidR="007523C1" w:rsidRDefault="00EB333D" w:rsidP="00263D09">
      <w:pPr>
        <w:adjustRightInd w:val="0"/>
        <w:ind w:firstLineChars="200" w:firstLine="420"/>
        <w:rPr>
          <w:rFonts w:hAnsi="Times New Roman"/>
          <w:sz w:val="21"/>
          <w:szCs w:val="21"/>
          <w:lang w:eastAsia="zh-CN" w:bidi="ar-SA"/>
        </w:rPr>
      </w:pPr>
      <w:r w:rsidRPr="005A0649">
        <w:rPr>
          <w:rFonts w:eastAsia="PMingLiU" w:hAnsi="Times New Roman" w:hint="eastAsia"/>
          <w:sz w:val="21"/>
          <w:szCs w:val="21"/>
          <w:lang w:eastAsia="zh-TW" w:bidi="ar-SA"/>
        </w:rPr>
        <w:t>集團年度催收未到賬的延期應收款項，集團要求對方簽署還款承諾，並分別於</w:t>
      </w:r>
      <w:r w:rsidRPr="005A0649">
        <w:rPr>
          <w:rFonts w:eastAsia="PMingLiU" w:hAnsi="Times New Roman"/>
          <w:sz w:val="21"/>
          <w:szCs w:val="21"/>
          <w:lang w:eastAsia="zh-TW" w:bidi="ar-SA"/>
        </w:rPr>
        <w:t xml:space="preserve">2023 </w:t>
      </w:r>
      <w:r w:rsidRPr="005A0649">
        <w:rPr>
          <w:rFonts w:eastAsia="PMingLiU" w:hAnsi="Times New Roman" w:hint="eastAsia"/>
          <w:sz w:val="21"/>
          <w:szCs w:val="21"/>
          <w:lang w:eastAsia="zh-TW" w:bidi="ar-SA"/>
        </w:rPr>
        <w:t>年</w:t>
      </w:r>
      <w:r w:rsidRPr="005A0649">
        <w:rPr>
          <w:rFonts w:eastAsia="PMingLiU" w:hAnsi="Times New Roman"/>
          <w:sz w:val="21"/>
          <w:szCs w:val="21"/>
          <w:lang w:eastAsia="zh-TW" w:bidi="ar-SA"/>
        </w:rPr>
        <w:t xml:space="preserve">03 </w:t>
      </w:r>
      <w:r w:rsidRPr="005A0649">
        <w:rPr>
          <w:rFonts w:eastAsia="PMingLiU" w:hAnsi="Times New Roman" w:hint="eastAsia"/>
          <w:sz w:val="21"/>
          <w:szCs w:val="21"/>
          <w:lang w:eastAsia="zh-TW" w:bidi="ar-SA"/>
        </w:rPr>
        <w:t>月</w:t>
      </w:r>
      <w:r w:rsidRPr="005A0649">
        <w:rPr>
          <w:rFonts w:eastAsia="PMingLiU" w:hAnsi="Times New Roman"/>
          <w:sz w:val="21"/>
          <w:szCs w:val="21"/>
          <w:lang w:eastAsia="zh-TW" w:bidi="ar-SA"/>
        </w:rPr>
        <w:t xml:space="preserve">07 </w:t>
      </w:r>
      <w:r w:rsidRPr="005A0649">
        <w:rPr>
          <w:rFonts w:eastAsia="PMingLiU" w:hAnsi="Times New Roman" w:hint="eastAsia"/>
          <w:sz w:val="21"/>
          <w:szCs w:val="21"/>
          <w:lang w:eastAsia="zh-TW" w:bidi="ar-SA"/>
        </w:rPr>
        <w:t>日和</w:t>
      </w:r>
      <w:r w:rsidRPr="005A0649">
        <w:rPr>
          <w:rFonts w:eastAsia="PMingLiU" w:hAnsi="Times New Roman"/>
          <w:sz w:val="21"/>
          <w:szCs w:val="21"/>
          <w:lang w:eastAsia="zh-TW" w:bidi="ar-SA"/>
        </w:rPr>
        <w:t xml:space="preserve">2024 </w:t>
      </w:r>
      <w:r w:rsidRPr="005A0649">
        <w:rPr>
          <w:rFonts w:eastAsia="PMingLiU" w:hAnsi="Times New Roman" w:hint="eastAsia"/>
          <w:sz w:val="21"/>
          <w:szCs w:val="21"/>
          <w:lang w:eastAsia="zh-TW" w:bidi="ar-SA"/>
        </w:rPr>
        <w:t>年</w:t>
      </w:r>
    </w:p>
    <w:p w14:paraId="6549DDC6" w14:textId="4A984699" w:rsidR="007523C1" w:rsidRDefault="00EB333D" w:rsidP="007523C1">
      <w:pPr>
        <w:adjustRightInd w:val="0"/>
        <w:rPr>
          <w:rFonts w:hAnsi="Times New Roman"/>
          <w:sz w:val="21"/>
          <w:szCs w:val="21"/>
          <w:lang w:eastAsia="zh-TW" w:bidi="ar-SA"/>
        </w:rPr>
      </w:pPr>
      <w:r w:rsidRPr="005A0649">
        <w:rPr>
          <w:rFonts w:eastAsia="PMingLiU" w:hAnsi="Times New Roman"/>
          <w:sz w:val="21"/>
          <w:szCs w:val="21"/>
          <w:lang w:eastAsia="zh-TW" w:bidi="ar-SA"/>
        </w:rPr>
        <w:t xml:space="preserve">03 </w:t>
      </w:r>
      <w:r w:rsidRPr="005A0649">
        <w:rPr>
          <w:rFonts w:eastAsia="PMingLiU" w:hAnsi="Times New Roman" w:hint="eastAsia"/>
          <w:sz w:val="21"/>
          <w:szCs w:val="21"/>
          <w:lang w:eastAsia="zh-TW" w:bidi="ar-SA"/>
        </w:rPr>
        <w:t>月</w:t>
      </w:r>
      <w:r w:rsidRPr="005A0649">
        <w:rPr>
          <w:rFonts w:eastAsia="PMingLiU" w:hAnsi="Times New Roman"/>
          <w:sz w:val="21"/>
          <w:szCs w:val="21"/>
          <w:lang w:eastAsia="zh-TW" w:bidi="ar-SA"/>
        </w:rPr>
        <w:t xml:space="preserve">21 </w:t>
      </w:r>
      <w:r w:rsidRPr="005A0649">
        <w:rPr>
          <w:rFonts w:eastAsia="PMingLiU" w:hAnsi="Times New Roman" w:hint="eastAsia"/>
          <w:sz w:val="21"/>
          <w:szCs w:val="21"/>
          <w:lang w:eastAsia="zh-TW" w:bidi="ar-SA"/>
        </w:rPr>
        <w:t>日集團收到關聯方確認的還款承諾函。此事項構成財務資助。超過資產比率（定義見上市規則）下的</w:t>
      </w:r>
    </w:p>
    <w:p w14:paraId="5DCDD74F" w14:textId="17180137" w:rsidR="007523C1" w:rsidRPr="00446FA1" w:rsidRDefault="00EB333D" w:rsidP="007523C1">
      <w:pPr>
        <w:adjustRightInd w:val="0"/>
        <w:rPr>
          <w:rFonts w:eastAsia="PMingLiU" w:hAnsi="Times New Roman"/>
          <w:sz w:val="21"/>
          <w:szCs w:val="21"/>
          <w:lang w:eastAsia="zh-TW" w:bidi="ar-SA"/>
        </w:rPr>
      </w:pPr>
      <w:r w:rsidRPr="005A0649">
        <w:rPr>
          <w:rFonts w:eastAsia="PMingLiU" w:hAnsi="Times New Roman"/>
          <w:sz w:val="21"/>
          <w:szCs w:val="21"/>
          <w:lang w:eastAsia="zh-TW" w:bidi="ar-SA"/>
        </w:rPr>
        <w:t>8%,</w:t>
      </w:r>
      <w:r w:rsidRPr="005A0649">
        <w:rPr>
          <w:rFonts w:eastAsia="PMingLiU" w:hAnsi="Times New Roman" w:hint="eastAsia"/>
          <w:sz w:val="21"/>
          <w:szCs w:val="21"/>
          <w:lang w:eastAsia="zh-TW" w:bidi="ar-SA"/>
        </w:rPr>
        <w:t>未有遵守上市規則第</w:t>
      </w:r>
      <w:r w:rsidRPr="00EB333D">
        <w:rPr>
          <w:rFonts w:eastAsia="PMingLiU" w:hAnsi="Times New Roman"/>
          <w:sz w:val="21"/>
          <w:szCs w:val="21"/>
          <w:lang w:eastAsia="zh-TW" w:bidi="ar-SA"/>
        </w:rPr>
        <w:t>17.15</w:t>
      </w:r>
      <w:r w:rsidRPr="00EB333D">
        <w:rPr>
          <w:rFonts w:eastAsia="PMingLiU" w:hAnsi="Times New Roman" w:hint="eastAsia"/>
          <w:sz w:val="21"/>
          <w:szCs w:val="21"/>
          <w:lang w:eastAsia="zh-TW" w:bidi="ar-SA"/>
        </w:rPr>
        <w:t>、</w:t>
      </w:r>
      <w:r w:rsidRPr="00EB333D">
        <w:rPr>
          <w:rFonts w:eastAsia="PMingLiU" w:hAnsi="Times New Roman"/>
          <w:sz w:val="21"/>
          <w:szCs w:val="21"/>
          <w:lang w:eastAsia="zh-TW" w:bidi="ar-SA"/>
        </w:rPr>
        <w:t>20.33</w:t>
      </w:r>
      <w:r w:rsidRPr="00EB333D">
        <w:rPr>
          <w:rFonts w:eastAsia="PMingLiU" w:hAnsi="Times New Roman" w:hint="eastAsia"/>
          <w:sz w:val="21"/>
          <w:szCs w:val="21"/>
          <w:lang w:eastAsia="zh-TW" w:bidi="ar-SA"/>
        </w:rPr>
        <w:t>、</w:t>
      </w:r>
      <w:r w:rsidRPr="00EB333D">
        <w:rPr>
          <w:rFonts w:eastAsia="PMingLiU" w:hAnsi="Times New Roman"/>
          <w:sz w:val="21"/>
          <w:szCs w:val="21"/>
          <w:lang w:eastAsia="zh-TW" w:bidi="ar-SA"/>
        </w:rPr>
        <w:t>20.34</w:t>
      </w:r>
      <w:r w:rsidRPr="00EB333D">
        <w:rPr>
          <w:rFonts w:eastAsia="PMingLiU" w:hAnsi="Times New Roman" w:hint="eastAsia"/>
          <w:sz w:val="21"/>
          <w:szCs w:val="21"/>
          <w:lang w:eastAsia="zh-TW" w:bidi="ar-SA"/>
        </w:rPr>
        <w:t>、</w:t>
      </w:r>
      <w:r w:rsidRPr="00EB333D">
        <w:rPr>
          <w:rFonts w:eastAsia="PMingLiU" w:hAnsi="Times New Roman"/>
          <w:sz w:val="21"/>
          <w:szCs w:val="21"/>
          <w:lang w:eastAsia="zh-TW" w:bidi="ar-SA"/>
        </w:rPr>
        <w:t>20.37</w:t>
      </w:r>
      <w:r w:rsidRPr="00EB333D">
        <w:rPr>
          <w:rFonts w:eastAsia="PMingLiU" w:hAnsi="Times New Roman" w:hint="eastAsia"/>
          <w:sz w:val="21"/>
          <w:szCs w:val="21"/>
          <w:lang w:eastAsia="zh-TW" w:bidi="ar-SA"/>
        </w:rPr>
        <w:t>、</w:t>
      </w:r>
      <w:r w:rsidRPr="00EB333D">
        <w:rPr>
          <w:rFonts w:eastAsia="PMingLiU" w:hAnsi="Times New Roman"/>
          <w:sz w:val="21"/>
          <w:szCs w:val="21"/>
          <w:lang w:eastAsia="zh-TW" w:bidi="ar-SA"/>
        </w:rPr>
        <w:t>20.44</w:t>
      </w:r>
      <w:r w:rsidRPr="00EB333D">
        <w:rPr>
          <w:rFonts w:eastAsia="PMingLiU" w:hAnsi="Times New Roman" w:hint="eastAsia"/>
          <w:sz w:val="21"/>
          <w:szCs w:val="21"/>
          <w:lang w:eastAsia="zh-TW" w:bidi="ar-SA"/>
        </w:rPr>
        <w:t>、</w:t>
      </w:r>
      <w:r w:rsidRPr="00EB333D">
        <w:rPr>
          <w:rFonts w:eastAsia="PMingLiU" w:hAnsi="Times New Roman"/>
          <w:sz w:val="21"/>
          <w:szCs w:val="21"/>
          <w:lang w:eastAsia="zh-TW" w:bidi="ar-SA"/>
        </w:rPr>
        <w:t>20.47</w:t>
      </w:r>
      <w:r>
        <w:rPr>
          <w:rFonts w:eastAsia="PMingLiU" w:hAnsi="Times New Roman" w:hint="eastAsia"/>
          <w:sz w:val="21"/>
          <w:szCs w:val="21"/>
          <w:lang w:eastAsia="zh-TW" w:bidi="ar-SA"/>
        </w:rPr>
        <w:t>交易各方之間的關連關係，以及關連人士於交易中所佔的利益</w:t>
      </w:r>
      <w:r w:rsidRPr="005A0649">
        <w:rPr>
          <w:rFonts w:eastAsia="PMingLiU" w:hAnsi="Times New Roman" w:hint="eastAsia"/>
          <w:sz w:val="21"/>
          <w:szCs w:val="21"/>
          <w:lang w:eastAsia="zh-TW" w:bidi="ar-SA"/>
        </w:rPr>
        <w:t>的披露規定乃無心之失，現予補充公告。</w:t>
      </w:r>
    </w:p>
    <w:p w14:paraId="23E50DC7" w14:textId="77777777" w:rsidR="00263D09" w:rsidRDefault="00263D09" w:rsidP="007523C1">
      <w:pPr>
        <w:adjustRightInd w:val="0"/>
        <w:rPr>
          <w:rFonts w:hAnsi="Times New Roman"/>
          <w:sz w:val="21"/>
          <w:szCs w:val="21"/>
          <w:lang w:eastAsia="zh-CN" w:bidi="ar-SA"/>
        </w:rPr>
      </w:pPr>
    </w:p>
    <w:p w14:paraId="47070F03" w14:textId="77777777" w:rsidR="00263D09" w:rsidRDefault="00263D09" w:rsidP="007523C1">
      <w:pPr>
        <w:adjustRightInd w:val="0"/>
        <w:rPr>
          <w:rFonts w:hAnsi="Times New Roman"/>
          <w:sz w:val="21"/>
          <w:szCs w:val="21"/>
          <w:lang w:eastAsia="zh-CN" w:bidi="ar-SA"/>
        </w:rPr>
      </w:pPr>
    </w:p>
    <w:p w14:paraId="3CC9DE7F" w14:textId="5C0D929A" w:rsidR="007523C1" w:rsidRDefault="00EB333D" w:rsidP="007523C1">
      <w:pPr>
        <w:adjustRightInd w:val="0"/>
        <w:rPr>
          <w:rFonts w:hAnsi="Times New Roman"/>
          <w:sz w:val="21"/>
          <w:szCs w:val="21"/>
          <w:lang w:eastAsia="zh-CN" w:bidi="ar-SA"/>
        </w:rPr>
      </w:pPr>
      <w:r w:rsidRPr="005A0649">
        <w:rPr>
          <w:rFonts w:eastAsia="PMingLiU" w:hAnsi="Times New Roman" w:hint="eastAsia"/>
          <w:sz w:val="21"/>
          <w:szCs w:val="21"/>
          <w:lang w:eastAsia="zh-TW" w:bidi="ar-SA"/>
        </w:rPr>
        <w:t>為防止類似事件再次發生，本集團</w:t>
      </w:r>
      <w:r w:rsidR="00373298" w:rsidRPr="00373298">
        <w:rPr>
          <w:rFonts w:eastAsia="PMingLiU" w:hAnsi="Times New Roman" w:hint="eastAsia"/>
          <w:sz w:val="21"/>
          <w:szCs w:val="21"/>
          <w:lang w:eastAsia="zh-TW" w:bidi="ar-SA"/>
        </w:rPr>
        <w:t>已</w:t>
      </w:r>
      <w:r w:rsidR="002522D1" w:rsidRPr="00373298">
        <w:rPr>
          <w:rFonts w:eastAsia="PMingLiU" w:hAnsi="Times New Roman" w:hint="eastAsia"/>
          <w:sz w:val="21"/>
          <w:szCs w:val="21"/>
          <w:lang w:eastAsia="zh-TW" w:bidi="ar-SA"/>
        </w:rPr>
        <w:t>於</w:t>
      </w:r>
      <w:r w:rsidR="002522D1" w:rsidRPr="002522D1">
        <w:rPr>
          <w:rFonts w:eastAsia="PMingLiU" w:hAnsi="Times New Roman"/>
          <w:sz w:val="21"/>
          <w:szCs w:val="21"/>
          <w:lang w:eastAsia="zh-TW" w:bidi="ar-SA"/>
        </w:rPr>
        <w:t>2024</w:t>
      </w:r>
      <w:r w:rsidR="002522D1" w:rsidRPr="002522D1">
        <w:rPr>
          <w:rFonts w:eastAsia="PMingLiU" w:hAnsi="Times New Roman" w:hint="eastAsia"/>
          <w:sz w:val="21"/>
          <w:szCs w:val="21"/>
          <w:lang w:eastAsia="zh-TW" w:bidi="ar-SA"/>
        </w:rPr>
        <w:t>年</w:t>
      </w:r>
      <w:r w:rsidR="002522D1" w:rsidRPr="00373298">
        <w:rPr>
          <w:rFonts w:eastAsia="PMingLiU" w:hAnsi="Times New Roman"/>
          <w:sz w:val="21"/>
          <w:szCs w:val="21"/>
          <w:lang w:eastAsia="zh-TW" w:bidi="ar-SA"/>
        </w:rPr>
        <w:t>6</w:t>
      </w:r>
      <w:r w:rsidR="002522D1" w:rsidRPr="00373298">
        <w:rPr>
          <w:rFonts w:eastAsia="PMingLiU" w:hAnsi="Times New Roman" w:hint="eastAsia"/>
          <w:sz w:val="21"/>
          <w:szCs w:val="21"/>
          <w:lang w:eastAsia="zh-TW" w:bidi="ar-SA"/>
        </w:rPr>
        <w:t>月</w:t>
      </w:r>
      <w:r w:rsidR="002522D1" w:rsidRPr="00373298">
        <w:rPr>
          <w:rFonts w:eastAsia="PMingLiU" w:hAnsi="Times New Roman"/>
          <w:sz w:val="21"/>
          <w:szCs w:val="21"/>
          <w:lang w:eastAsia="zh-TW" w:bidi="ar-SA"/>
        </w:rPr>
        <w:t>19</w:t>
      </w:r>
      <w:r w:rsidR="002522D1" w:rsidRPr="00373298">
        <w:rPr>
          <w:rFonts w:eastAsia="PMingLiU" w:hAnsi="Times New Roman" w:hint="eastAsia"/>
          <w:sz w:val="21"/>
          <w:szCs w:val="21"/>
          <w:lang w:eastAsia="zh-TW" w:bidi="ar-SA"/>
        </w:rPr>
        <w:t>日</w:t>
      </w:r>
      <w:r w:rsidR="002522D1" w:rsidRPr="005A0649">
        <w:rPr>
          <w:rFonts w:eastAsia="PMingLiU" w:hAnsi="Times New Roman" w:hint="eastAsia"/>
          <w:sz w:val="21"/>
          <w:szCs w:val="21"/>
          <w:lang w:eastAsia="zh-TW" w:bidi="ar-SA"/>
        </w:rPr>
        <w:t>採取以</w:t>
      </w:r>
      <w:r w:rsidRPr="005A0649">
        <w:rPr>
          <w:rFonts w:eastAsia="PMingLiU" w:hAnsi="Times New Roman" w:hint="eastAsia"/>
          <w:sz w:val="21"/>
          <w:szCs w:val="21"/>
          <w:lang w:eastAsia="zh-TW" w:bidi="ar-SA"/>
        </w:rPr>
        <w:t>下措施：</w:t>
      </w:r>
    </w:p>
    <w:p w14:paraId="27697E16" w14:textId="5F290B84" w:rsidR="007523C1" w:rsidRDefault="00EB333D" w:rsidP="007523C1">
      <w:pPr>
        <w:adjustRightInd w:val="0"/>
        <w:rPr>
          <w:rFonts w:hAnsi="Times New Roman"/>
          <w:sz w:val="21"/>
          <w:szCs w:val="21"/>
          <w:lang w:eastAsia="zh-CN" w:bidi="ar-SA"/>
        </w:rPr>
      </w:pPr>
      <w:r w:rsidRPr="005A0649">
        <w:rPr>
          <w:rFonts w:eastAsia="PMingLiU" w:hAnsi="Times New Roman" w:hint="eastAsia"/>
          <w:sz w:val="21"/>
          <w:szCs w:val="21"/>
          <w:lang w:eastAsia="zh-TW" w:bidi="ar-SA"/>
        </w:rPr>
        <w:t>集團將進一步防範控制財務資助的發生，採取以下措施管控財務資助業務及上市規則合規性：</w:t>
      </w:r>
    </w:p>
    <w:p w14:paraId="1516E491" w14:textId="0F38B5F9" w:rsidR="007523C1" w:rsidRDefault="00EB333D" w:rsidP="007523C1">
      <w:pPr>
        <w:adjustRightInd w:val="0"/>
        <w:rPr>
          <w:rFonts w:hAnsi="Times New Roman"/>
          <w:sz w:val="21"/>
          <w:szCs w:val="21"/>
          <w:lang w:eastAsia="zh-CN" w:bidi="ar-SA"/>
        </w:rPr>
      </w:pPr>
      <w:r w:rsidRPr="005A0649">
        <w:rPr>
          <w:rFonts w:eastAsia="PMingLiU" w:hAnsi="Times New Roman"/>
          <w:sz w:val="21"/>
          <w:szCs w:val="21"/>
          <w:lang w:eastAsia="zh-TW" w:bidi="ar-SA"/>
        </w:rPr>
        <w:t>1.</w:t>
      </w:r>
      <w:r w:rsidRPr="005A0649">
        <w:rPr>
          <w:rFonts w:eastAsia="PMingLiU" w:hAnsi="Times New Roman" w:hint="eastAsia"/>
          <w:sz w:val="21"/>
          <w:szCs w:val="21"/>
          <w:lang w:eastAsia="zh-TW" w:bidi="ar-SA"/>
        </w:rPr>
        <w:t>完善內部監督：通過日常監控體系，確保持續性監控行為的落實。</w:t>
      </w:r>
    </w:p>
    <w:p w14:paraId="2A4B4899" w14:textId="28CC4475" w:rsidR="007523C1" w:rsidRDefault="00EB333D" w:rsidP="007523C1">
      <w:pPr>
        <w:adjustRightInd w:val="0"/>
        <w:rPr>
          <w:rFonts w:hAnsi="Times New Roman"/>
          <w:sz w:val="21"/>
          <w:szCs w:val="21"/>
          <w:lang w:eastAsia="zh-CN" w:bidi="ar-SA"/>
        </w:rPr>
      </w:pPr>
      <w:r w:rsidRPr="005A0649">
        <w:rPr>
          <w:rFonts w:eastAsia="PMingLiU" w:hAnsi="Times New Roman"/>
          <w:sz w:val="21"/>
          <w:szCs w:val="21"/>
          <w:lang w:eastAsia="zh-TW" w:bidi="ar-SA"/>
        </w:rPr>
        <w:t>2.</w:t>
      </w:r>
      <w:r w:rsidRPr="005A0649">
        <w:rPr>
          <w:rFonts w:eastAsia="PMingLiU" w:hAnsi="Times New Roman" w:hint="eastAsia"/>
          <w:sz w:val="21"/>
          <w:szCs w:val="21"/>
          <w:lang w:eastAsia="zh-TW" w:bidi="ar-SA"/>
        </w:rPr>
        <w:t>加強內部審計：內部審計機構或履行內部審計職能的機構獨立於被審計部門</w:t>
      </w:r>
      <w:bookmarkStart w:id="0" w:name="_GoBack"/>
      <w:bookmarkEnd w:id="0"/>
      <w:r w:rsidRPr="005A0649">
        <w:rPr>
          <w:rFonts w:eastAsia="PMingLiU" w:hAnsi="Times New Roman" w:hint="eastAsia"/>
          <w:sz w:val="21"/>
          <w:szCs w:val="21"/>
          <w:lang w:eastAsia="zh-TW" w:bidi="ar-SA"/>
        </w:rPr>
        <w:t>，對內部控制的有效性進</w:t>
      </w:r>
    </w:p>
    <w:p w14:paraId="252CD8B8" w14:textId="0503BC2B" w:rsidR="007523C1" w:rsidRDefault="00EB333D" w:rsidP="007523C1">
      <w:pPr>
        <w:adjustRightInd w:val="0"/>
        <w:rPr>
          <w:rFonts w:hAnsi="Times New Roman"/>
          <w:sz w:val="21"/>
          <w:szCs w:val="21"/>
          <w:lang w:eastAsia="zh-CN" w:bidi="ar-SA"/>
        </w:rPr>
      </w:pPr>
      <w:r w:rsidRPr="005A0649">
        <w:rPr>
          <w:rFonts w:eastAsia="PMingLiU" w:hAnsi="Times New Roman" w:hint="eastAsia"/>
          <w:sz w:val="21"/>
          <w:szCs w:val="21"/>
          <w:lang w:eastAsia="zh-TW" w:bidi="ar-SA"/>
        </w:rPr>
        <w:t>行監督，並及時報告缺陷。</w:t>
      </w:r>
    </w:p>
    <w:p w14:paraId="3A8951F9" w14:textId="24F60A9D" w:rsidR="007523C1" w:rsidRDefault="00EB333D" w:rsidP="007523C1">
      <w:pPr>
        <w:adjustRightInd w:val="0"/>
        <w:rPr>
          <w:rFonts w:hAnsi="Times New Roman"/>
          <w:sz w:val="21"/>
          <w:szCs w:val="21"/>
          <w:lang w:eastAsia="zh-CN" w:bidi="ar-SA"/>
        </w:rPr>
      </w:pPr>
      <w:r w:rsidRPr="005A0649">
        <w:rPr>
          <w:rFonts w:eastAsia="PMingLiU" w:hAnsi="Times New Roman"/>
          <w:sz w:val="21"/>
          <w:szCs w:val="21"/>
          <w:lang w:eastAsia="zh-TW" w:bidi="ar-SA"/>
        </w:rPr>
        <w:t>3.</w:t>
      </w:r>
      <w:r w:rsidRPr="005A0649">
        <w:rPr>
          <w:rFonts w:eastAsia="PMingLiU" w:hAnsi="Times New Roman" w:hint="eastAsia"/>
          <w:sz w:val="21"/>
          <w:szCs w:val="21"/>
          <w:lang w:eastAsia="zh-TW" w:bidi="ar-SA"/>
        </w:rPr>
        <w:t>資訊技術支援：利用資訊技術系統支援內控流程管理，實現制度檔的無紙化和流程執行的自動化，提</w:t>
      </w:r>
    </w:p>
    <w:p w14:paraId="411A9B58" w14:textId="7CA2AF26" w:rsidR="007523C1" w:rsidRDefault="00EB333D" w:rsidP="007523C1">
      <w:pPr>
        <w:adjustRightInd w:val="0"/>
        <w:rPr>
          <w:rFonts w:hAnsi="Times New Roman"/>
          <w:sz w:val="21"/>
          <w:szCs w:val="21"/>
          <w:lang w:eastAsia="zh-CN" w:bidi="ar-SA"/>
        </w:rPr>
      </w:pPr>
      <w:r w:rsidRPr="005A0649">
        <w:rPr>
          <w:rFonts w:eastAsia="PMingLiU" w:hAnsi="Times New Roman" w:hint="eastAsia"/>
          <w:sz w:val="21"/>
          <w:szCs w:val="21"/>
          <w:lang w:eastAsia="zh-TW" w:bidi="ar-SA"/>
        </w:rPr>
        <w:t>高效率。</w:t>
      </w:r>
    </w:p>
    <w:p w14:paraId="34C6494C" w14:textId="690BD010" w:rsidR="007523C1" w:rsidRDefault="00EB333D" w:rsidP="007523C1">
      <w:pPr>
        <w:adjustRightInd w:val="0"/>
        <w:rPr>
          <w:rFonts w:hAnsi="Times New Roman"/>
          <w:sz w:val="21"/>
          <w:szCs w:val="21"/>
          <w:lang w:eastAsia="zh-CN" w:bidi="ar-SA"/>
        </w:rPr>
      </w:pPr>
      <w:r w:rsidRPr="005A0649">
        <w:rPr>
          <w:rFonts w:eastAsia="PMingLiU" w:hAnsi="Times New Roman"/>
          <w:sz w:val="21"/>
          <w:szCs w:val="21"/>
          <w:lang w:eastAsia="zh-TW" w:bidi="ar-SA"/>
        </w:rPr>
        <w:t>4.</w:t>
      </w:r>
      <w:r w:rsidRPr="005A0649">
        <w:rPr>
          <w:rFonts w:eastAsia="PMingLiU" w:hAnsi="Times New Roman" w:hint="eastAsia"/>
          <w:sz w:val="21"/>
          <w:szCs w:val="21"/>
          <w:lang w:eastAsia="zh-TW" w:bidi="ar-SA"/>
        </w:rPr>
        <w:t>審批許可權及程式：明確對外提供財務資助的審批許可權和程式，確保所有財務資助事項都經過董事</w:t>
      </w:r>
    </w:p>
    <w:p w14:paraId="35F6C9A4" w14:textId="19DC7D6F" w:rsidR="007523C1" w:rsidRDefault="00EB333D" w:rsidP="007523C1">
      <w:pPr>
        <w:adjustRightInd w:val="0"/>
        <w:rPr>
          <w:rFonts w:hAnsi="Times New Roman"/>
          <w:sz w:val="21"/>
          <w:szCs w:val="21"/>
          <w:lang w:eastAsia="zh-CN" w:bidi="ar-SA"/>
        </w:rPr>
      </w:pPr>
      <w:r w:rsidRPr="005A0649">
        <w:rPr>
          <w:rFonts w:eastAsia="PMingLiU" w:hAnsi="Times New Roman" w:hint="eastAsia"/>
          <w:sz w:val="21"/>
          <w:szCs w:val="21"/>
          <w:lang w:eastAsia="zh-TW" w:bidi="ar-SA"/>
        </w:rPr>
        <w:t>會審議，並在必要時提交董事會或股東大會審議。</w:t>
      </w:r>
    </w:p>
    <w:p w14:paraId="57A27B08" w14:textId="47FF8ACE" w:rsidR="007523C1" w:rsidRPr="00EB333D" w:rsidRDefault="00EB333D" w:rsidP="007523C1">
      <w:pPr>
        <w:adjustRightInd w:val="0"/>
        <w:rPr>
          <w:rFonts w:eastAsia="PMingLiU" w:hAnsi="Times New Roman"/>
          <w:sz w:val="21"/>
          <w:szCs w:val="21"/>
          <w:lang w:eastAsia="zh-TW" w:bidi="ar-SA"/>
        </w:rPr>
      </w:pPr>
      <w:r w:rsidRPr="00EB333D">
        <w:rPr>
          <w:rFonts w:eastAsia="PMingLiU" w:hAnsi="Times New Roman"/>
          <w:sz w:val="21"/>
          <w:szCs w:val="21"/>
          <w:lang w:eastAsia="zh-TW" w:bidi="ar-SA"/>
        </w:rPr>
        <w:t>5.</w:t>
      </w:r>
      <w:r w:rsidRPr="00EB333D">
        <w:rPr>
          <w:rFonts w:eastAsia="PMingLiU" w:hAnsi="Times New Roman" w:hint="eastAsia"/>
          <w:sz w:val="21"/>
          <w:szCs w:val="21"/>
          <w:lang w:eastAsia="zh-TW" w:bidi="ar-SA"/>
        </w:rPr>
        <w:t>資訊披露：對提供財務資助事項進行充分披露，包括資助物件的基本情況、風險防範措施、董事會意</w:t>
      </w:r>
    </w:p>
    <w:p w14:paraId="0F56D5AC" w14:textId="20DD6DFE" w:rsidR="007523C1" w:rsidRPr="00EB333D" w:rsidRDefault="00EB333D" w:rsidP="007523C1">
      <w:pPr>
        <w:adjustRightInd w:val="0"/>
        <w:rPr>
          <w:rFonts w:eastAsia="PMingLiU" w:hAnsi="Times New Roman"/>
          <w:sz w:val="21"/>
          <w:szCs w:val="21"/>
          <w:lang w:eastAsia="zh-TW" w:bidi="ar-SA"/>
        </w:rPr>
      </w:pPr>
      <w:r w:rsidRPr="00EB333D">
        <w:rPr>
          <w:rFonts w:eastAsia="PMingLiU" w:hAnsi="Times New Roman" w:hint="eastAsia"/>
          <w:sz w:val="21"/>
          <w:szCs w:val="21"/>
          <w:lang w:eastAsia="zh-TW" w:bidi="ar-SA"/>
        </w:rPr>
        <w:t>見等。</w:t>
      </w:r>
    </w:p>
    <w:p w14:paraId="114FF351" w14:textId="4582DB11" w:rsidR="007523C1" w:rsidRPr="00EB333D" w:rsidRDefault="00EB333D" w:rsidP="007523C1">
      <w:pPr>
        <w:adjustRightInd w:val="0"/>
        <w:rPr>
          <w:rFonts w:eastAsia="PMingLiU" w:hAnsi="Times New Roman"/>
          <w:sz w:val="21"/>
          <w:szCs w:val="21"/>
          <w:lang w:eastAsia="zh-TW" w:bidi="ar-SA"/>
        </w:rPr>
      </w:pPr>
      <w:r w:rsidRPr="00EB333D">
        <w:rPr>
          <w:rFonts w:eastAsia="PMingLiU" w:hAnsi="Times New Roman"/>
          <w:sz w:val="21"/>
          <w:szCs w:val="21"/>
          <w:lang w:eastAsia="zh-TW" w:bidi="ar-SA"/>
        </w:rPr>
        <w:t>6.</w:t>
      </w:r>
      <w:r w:rsidRPr="00EB333D">
        <w:rPr>
          <w:rFonts w:eastAsia="PMingLiU" w:hAnsi="Times New Roman" w:hint="eastAsia"/>
          <w:sz w:val="21"/>
          <w:szCs w:val="21"/>
          <w:lang w:eastAsia="zh-TW" w:bidi="ar-SA"/>
        </w:rPr>
        <w:t>職責與分工明確：明確財務部門、董事會秘書、內部審計部等相關部門在財務資助事項中的職責與分</w:t>
      </w:r>
    </w:p>
    <w:p w14:paraId="43361702" w14:textId="4C591615" w:rsidR="007523C1" w:rsidRPr="00EB333D" w:rsidRDefault="00EB333D" w:rsidP="007523C1">
      <w:pPr>
        <w:adjustRightInd w:val="0"/>
        <w:rPr>
          <w:rFonts w:eastAsia="PMingLiU" w:hAnsi="Times New Roman"/>
          <w:sz w:val="21"/>
          <w:szCs w:val="21"/>
          <w:lang w:eastAsia="zh-TW" w:bidi="ar-SA"/>
        </w:rPr>
      </w:pPr>
      <w:r w:rsidRPr="00EB333D">
        <w:rPr>
          <w:rFonts w:eastAsia="PMingLiU" w:hAnsi="Times New Roman" w:hint="eastAsia"/>
          <w:sz w:val="21"/>
          <w:szCs w:val="21"/>
          <w:lang w:eastAsia="zh-TW" w:bidi="ar-SA"/>
        </w:rPr>
        <w:t>工。</w:t>
      </w:r>
    </w:p>
    <w:p w14:paraId="0D1D847E" w14:textId="04985371" w:rsidR="007523C1" w:rsidRPr="00EB333D" w:rsidRDefault="00EB333D" w:rsidP="007523C1">
      <w:pPr>
        <w:adjustRightInd w:val="0"/>
        <w:rPr>
          <w:rFonts w:eastAsia="PMingLiU" w:hAnsi="Times New Roman"/>
          <w:sz w:val="21"/>
          <w:szCs w:val="21"/>
          <w:lang w:eastAsia="zh-TW" w:bidi="ar-SA"/>
        </w:rPr>
      </w:pPr>
      <w:r w:rsidRPr="00EB333D">
        <w:rPr>
          <w:rFonts w:eastAsia="PMingLiU" w:hAnsi="Times New Roman"/>
          <w:sz w:val="21"/>
          <w:szCs w:val="21"/>
          <w:lang w:eastAsia="zh-TW" w:bidi="ar-SA"/>
        </w:rPr>
        <w:t>7.</w:t>
      </w:r>
      <w:r w:rsidRPr="00EB333D">
        <w:rPr>
          <w:rFonts w:eastAsia="PMingLiU" w:hAnsi="Times New Roman" w:hint="eastAsia"/>
          <w:sz w:val="21"/>
          <w:szCs w:val="21"/>
          <w:lang w:eastAsia="zh-TW" w:bidi="ar-SA"/>
        </w:rPr>
        <w:t>風險評估與控制：對被資助方進行風險評估，包括資產品質、經營情況、償債能力等，並採取相應的</w:t>
      </w:r>
    </w:p>
    <w:p w14:paraId="4070844E" w14:textId="571385C2" w:rsidR="007523C1" w:rsidRPr="00EB333D" w:rsidRDefault="00EB333D" w:rsidP="007523C1">
      <w:pPr>
        <w:adjustRightInd w:val="0"/>
        <w:rPr>
          <w:rFonts w:eastAsia="PMingLiU" w:hAnsi="Times New Roman"/>
          <w:sz w:val="21"/>
          <w:szCs w:val="21"/>
          <w:lang w:eastAsia="zh-TW" w:bidi="ar-SA"/>
        </w:rPr>
      </w:pPr>
      <w:r w:rsidRPr="00EB333D">
        <w:rPr>
          <w:rFonts w:eastAsia="PMingLiU" w:hAnsi="Times New Roman" w:hint="eastAsia"/>
          <w:sz w:val="21"/>
          <w:szCs w:val="21"/>
          <w:lang w:eastAsia="zh-TW" w:bidi="ar-SA"/>
        </w:rPr>
        <w:t>風險控制措施。</w:t>
      </w:r>
    </w:p>
    <w:p w14:paraId="37907675" w14:textId="6D5F8B58" w:rsidR="007523C1" w:rsidRPr="00EB333D" w:rsidRDefault="00EB333D" w:rsidP="007523C1">
      <w:pPr>
        <w:adjustRightInd w:val="0"/>
        <w:rPr>
          <w:rFonts w:eastAsia="PMingLiU" w:hAnsi="Times New Roman"/>
          <w:sz w:val="21"/>
          <w:szCs w:val="21"/>
          <w:lang w:eastAsia="zh-TW" w:bidi="ar-SA"/>
        </w:rPr>
      </w:pPr>
      <w:r w:rsidRPr="00EB333D">
        <w:rPr>
          <w:rFonts w:eastAsia="PMingLiU" w:hAnsi="Times New Roman"/>
          <w:sz w:val="21"/>
          <w:szCs w:val="21"/>
          <w:lang w:eastAsia="zh-TW" w:bidi="ar-SA"/>
        </w:rPr>
        <w:t>8.</w:t>
      </w:r>
      <w:r w:rsidRPr="00EB333D">
        <w:rPr>
          <w:rFonts w:eastAsia="PMingLiU" w:hAnsi="Times New Roman" w:hint="eastAsia"/>
          <w:sz w:val="21"/>
          <w:szCs w:val="21"/>
          <w:lang w:eastAsia="zh-TW" w:bidi="ar-SA"/>
        </w:rPr>
        <w:t>制度建設：完善《財務資助管理制度》，確保對外提供財務資助的行為依法規範，防範財務風險。</w:t>
      </w:r>
    </w:p>
    <w:p w14:paraId="3C1D4357" w14:textId="22CFDF11" w:rsidR="007523C1" w:rsidRPr="00EB333D" w:rsidRDefault="00EB333D" w:rsidP="007523C1">
      <w:pPr>
        <w:adjustRightInd w:val="0"/>
        <w:rPr>
          <w:rFonts w:eastAsia="PMingLiU" w:hAnsi="Times New Roman"/>
          <w:sz w:val="21"/>
          <w:szCs w:val="21"/>
          <w:lang w:eastAsia="zh-TW" w:bidi="ar-SA"/>
        </w:rPr>
      </w:pPr>
      <w:r w:rsidRPr="00EB333D">
        <w:rPr>
          <w:rFonts w:eastAsia="PMingLiU" w:hAnsi="Times New Roman"/>
          <w:sz w:val="21"/>
          <w:szCs w:val="21"/>
          <w:lang w:eastAsia="zh-TW" w:bidi="ar-SA"/>
        </w:rPr>
        <w:t>9.</w:t>
      </w:r>
      <w:r w:rsidRPr="00EB333D">
        <w:rPr>
          <w:rFonts w:eastAsia="PMingLiU" w:hAnsi="Times New Roman" w:hint="eastAsia"/>
          <w:sz w:val="21"/>
          <w:szCs w:val="21"/>
          <w:lang w:eastAsia="zh-TW" w:bidi="ar-SA"/>
        </w:rPr>
        <w:t>培訓與溝通：對相關員工進行培訓，使其瞭解財務資助政策和流程，明白違規的後果。保持部門之間</w:t>
      </w:r>
    </w:p>
    <w:p w14:paraId="23D96386" w14:textId="643E4BAB" w:rsidR="00C54D15" w:rsidRPr="00EB333D" w:rsidRDefault="00EB333D" w:rsidP="00EB333D">
      <w:pPr>
        <w:pStyle w:val="af1"/>
        <w:spacing w:before="92" w:beforeAutospacing="0" w:after="0" w:afterAutospacing="0" w:line="230" w:lineRule="auto"/>
        <w:rPr>
          <w:rFonts w:eastAsia="PMingLiU" w:hAnsi="Times New Roman"/>
          <w:sz w:val="21"/>
          <w:szCs w:val="21"/>
          <w:lang w:eastAsia="zh-TW"/>
        </w:rPr>
      </w:pPr>
      <w:r w:rsidRPr="00EB333D">
        <w:rPr>
          <w:rFonts w:eastAsia="PMingLiU" w:hAnsi="Times New Roman" w:hint="eastAsia"/>
          <w:sz w:val="21"/>
          <w:szCs w:val="21"/>
          <w:lang w:eastAsia="zh-TW"/>
        </w:rPr>
        <w:t>的有效溝通，確保資訊及時傳遞。</w:t>
      </w:r>
    </w:p>
    <w:p w14:paraId="71D1A36B" w14:textId="77777777" w:rsidR="00EC6CD9" w:rsidRPr="0021638D" w:rsidRDefault="00EC6CD9">
      <w:pPr>
        <w:spacing w:line="364" w:lineRule="auto"/>
        <w:jc w:val="both"/>
        <w:rPr>
          <w:sz w:val="21"/>
          <w:szCs w:val="21"/>
          <w:lang w:eastAsia="zh-TW"/>
        </w:rPr>
      </w:pPr>
    </w:p>
    <w:p w14:paraId="1277222E" w14:textId="5A68AD7D" w:rsidR="00EC6CD9" w:rsidRPr="0021638D" w:rsidRDefault="00EB333D" w:rsidP="00FF7567">
      <w:pPr>
        <w:pStyle w:val="a5"/>
        <w:ind w:right="2019"/>
        <w:jc w:val="right"/>
        <w:rPr>
          <w:lang w:eastAsia="zh-TW"/>
        </w:rPr>
      </w:pPr>
      <w:r w:rsidRPr="00EB333D">
        <w:rPr>
          <w:rFonts w:eastAsia="PMingLiU" w:hint="eastAsia"/>
          <w:lang w:eastAsia="zh-TW"/>
        </w:rPr>
        <w:t>承董事會命</w:t>
      </w:r>
    </w:p>
    <w:p w14:paraId="7F66FE2C" w14:textId="7DA772A2" w:rsidR="00EC6CD9" w:rsidRPr="0021638D" w:rsidRDefault="00EB333D">
      <w:pPr>
        <w:pStyle w:val="a5"/>
        <w:spacing w:before="141"/>
        <w:ind w:left="6875"/>
        <w:rPr>
          <w:lang w:eastAsia="zh-TW"/>
        </w:rPr>
      </w:pPr>
      <w:r w:rsidRPr="00EB333D">
        <w:rPr>
          <w:rFonts w:eastAsia="PMingLiU" w:hint="eastAsia"/>
          <w:lang w:eastAsia="zh-TW"/>
        </w:rPr>
        <w:t>中國醫療集團有限公司</w:t>
      </w:r>
    </w:p>
    <w:p w14:paraId="2D31D86B" w14:textId="548A060F" w:rsidR="00EC6CD9" w:rsidRPr="0021638D" w:rsidRDefault="00EB333D" w:rsidP="00FF7567">
      <w:pPr>
        <w:pStyle w:val="a5"/>
        <w:spacing w:before="142" w:line="367" w:lineRule="auto"/>
        <w:ind w:right="2022" w:firstLineChars="3200" w:firstLine="6720"/>
        <w:jc w:val="right"/>
        <w:rPr>
          <w:lang w:eastAsia="zh-CN"/>
        </w:rPr>
      </w:pPr>
      <w:r w:rsidRPr="00EB333D">
        <w:rPr>
          <w:rFonts w:eastAsia="PMingLiU" w:hint="eastAsia"/>
          <w:lang w:eastAsia="zh-TW"/>
        </w:rPr>
        <w:t>郭夏主席</w:t>
      </w:r>
    </w:p>
    <w:p w14:paraId="6C485337" w14:textId="77777777" w:rsidR="00EC6CD9" w:rsidRPr="0021638D" w:rsidRDefault="00EC6CD9">
      <w:pPr>
        <w:pStyle w:val="a5"/>
        <w:spacing w:before="12"/>
      </w:pPr>
    </w:p>
    <w:p w14:paraId="2DAD56B9" w14:textId="12C3422A" w:rsidR="00EC6CD9" w:rsidRPr="0021638D" w:rsidRDefault="00EB333D">
      <w:pPr>
        <w:pStyle w:val="a5"/>
        <w:ind w:left="680" w:firstLineChars="2900" w:firstLine="6090"/>
      </w:pPr>
      <w:r w:rsidRPr="00EB333D">
        <w:rPr>
          <w:rFonts w:eastAsia="PMingLiU" w:hint="eastAsia"/>
          <w:lang w:eastAsia="zh-TW"/>
        </w:rPr>
        <w:t>香港，</w:t>
      </w:r>
      <w:r w:rsidRPr="00EB333D">
        <w:rPr>
          <w:rFonts w:eastAsia="PMingLiU"/>
          <w:lang w:eastAsia="zh-TW"/>
        </w:rPr>
        <w:t xml:space="preserve"> </w:t>
      </w:r>
      <w:r w:rsidRPr="00EB333D">
        <w:rPr>
          <w:rFonts w:eastAsia="PMingLiU" w:hint="eastAsia"/>
          <w:lang w:eastAsia="zh-TW"/>
        </w:rPr>
        <w:t>二零二四年九月十日</w:t>
      </w:r>
    </w:p>
    <w:p w14:paraId="6DE4C6DA" w14:textId="77777777" w:rsidR="00EC6CD9" w:rsidRDefault="00EC6CD9">
      <w:pPr>
        <w:pStyle w:val="a5"/>
        <w:rPr>
          <w:sz w:val="20"/>
        </w:rPr>
      </w:pPr>
    </w:p>
    <w:p w14:paraId="2B5E4A51" w14:textId="5B01108D" w:rsidR="00EC6CD9" w:rsidRDefault="00EC6CD9">
      <w:pPr>
        <w:pStyle w:val="a5"/>
        <w:spacing w:before="4"/>
        <w:rPr>
          <w:sz w:val="19"/>
        </w:rPr>
      </w:pPr>
    </w:p>
    <w:p w14:paraId="52E4DA0C" w14:textId="308DDC9F" w:rsidR="007523C1" w:rsidRDefault="007523C1">
      <w:pPr>
        <w:pStyle w:val="a5"/>
        <w:spacing w:before="4"/>
        <w:rPr>
          <w:sz w:val="19"/>
        </w:rPr>
      </w:pPr>
    </w:p>
    <w:p w14:paraId="4D558692" w14:textId="65185B77" w:rsidR="007523C1" w:rsidRDefault="007523C1">
      <w:pPr>
        <w:pStyle w:val="a5"/>
        <w:spacing w:before="4"/>
        <w:rPr>
          <w:sz w:val="19"/>
        </w:rPr>
      </w:pPr>
    </w:p>
    <w:p w14:paraId="59C7E061" w14:textId="77777777" w:rsidR="006D6F2D" w:rsidRDefault="006D6F2D" w:rsidP="00852E9D">
      <w:pPr>
        <w:pStyle w:val="a5"/>
        <w:spacing w:before="5"/>
        <w:rPr>
          <w:rFonts w:eastAsia="PMingLiU"/>
          <w:bCs/>
          <w:sz w:val="18"/>
          <w:szCs w:val="18"/>
          <w:lang w:eastAsia="zh-TW"/>
        </w:rPr>
      </w:pPr>
    </w:p>
    <w:p w14:paraId="7D3AE993" w14:textId="77777777" w:rsidR="006D6F2D" w:rsidRDefault="006D6F2D" w:rsidP="00852E9D">
      <w:pPr>
        <w:pStyle w:val="a5"/>
        <w:spacing w:before="5"/>
        <w:rPr>
          <w:rFonts w:eastAsia="PMingLiU"/>
          <w:bCs/>
          <w:sz w:val="18"/>
          <w:szCs w:val="18"/>
          <w:lang w:eastAsia="zh-TW"/>
        </w:rPr>
      </w:pPr>
    </w:p>
    <w:p w14:paraId="4BA3F707" w14:textId="77777777" w:rsidR="006D6F2D" w:rsidRDefault="006D6F2D" w:rsidP="00852E9D">
      <w:pPr>
        <w:pStyle w:val="a5"/>
        <w:spacing w:before="5"/>
        <w:rPr>
          <w:rFonts w:eastAsia="PMingLiU"/>
          <w:bCs/>
          <w:sz w:val="18"/>
          <w:szCs w:val="18"/>
          <w:lang w:eastAsia="zh-TW"/>
        </w:rPr>
      </w:pPr>
    </w:p>
    <w:p w14:paraId="58DEF05D" w14:textId="7BAC866D" w:rsidR="003E4F9A" w:rsidRPr="006D6F2D" w:rsidRDefault="00EB333D" w:rsidP="00852E9D">
      <w:pPr>
        <w:pStyle w:val="a5"/>
        <w:spacing w:before="5"/>
        <w:rPr>
          <w:rFonts w:eastAsia="PMingLiU" w:hAnsi="Times New Roman"/>
          <w:lang w:eastAsia="zh-TW" w:bidi="ar-SA"/>
        </w:rPr>
      </w:pPr>
      <w:r w:rsidRPr="006D6F2D">
        <w:rPr>
          <w:rFonts w:eastAsia="PMingLiU" w:hAnsi="Times New Roman" w:hint="eastAsia"/>
          <w:lang w:eastAsia="zh-TW" w:bidi="ar-SA"/>
        </w:rPr>
        <w:lastRenderedPageBreak/>
        <w:t>本公告所載資料乃遵照香港聯合交易所有限公司</w:t>
      </w:r>
      <w:r w:rsidRPr="006D6F2D">
        <w:rPr>
          <w:rFonts w:eastAsia="PMingLiU" w:hAnsi="Times New Roman"/>
          <w:lang w:eastAsia="zh-TW" w:bidi="ar-SA"/>
        </w:rPr>
        <w:t>GEM</w:t>
      </w:r>
      <w:r w:rsidRPr="006D6F2D">
        <w:rPr>
          <w:rFonts w:eastAsia="PMingLiU" w:hAnsi="Times New Roman" w:hint="eastAsia"/>
          <w:lang w:eastAsia="zh-TW" w:bidi="ar-SA"/>
        </w:rPr>
        <w:t>證券上市規則而提供有關發行人的資料，發行人的董事對其共同及個別承擔全部責任。董事經作出一切合理查詢後確認，就彼等所知及所信，本公告所載資料在各重大方面均準確完備，並無誤導或欺詐成分，且並無遺漏任何事項，致使本公告所載任何陳述或本檔產生誤導。</w:t>
      </w:r>
    </w:p>
    <w:p w14:paraId="24AE03A7" w14:textId="77777777" w:rsidR="006D6F2D" w:rsidRPr="00852E9D" w:rsidRDefault="006D6F2D" w:rsidP="00852E9D">
      <w:pPr>
        <w:pStyle w:val="a5"/>
        <w:spacing w:before="5"/>
        <w:rPr>
          <w:sz w:val="27"/>
          <w:lang w:eastAsia="zh-TW"/>
        </w:rPr>
      </w:pPr>
    </w:p>
    <w:p w14:paraId="4B6D1F1C" w14:textId="1A362CE0" w:rsidR="007523C1" w:rsidRPr="00852E9D" w:rsidRDefault="00EB333D" w:rsidP="007523C1">
      <w:pPr>
        <w:adjustRightInd w:val="0"/>
        <w:rPr>
          <w:rFonts w:eastAsia="PMingLiU" w:hAnsi="Times New Roman"/>
          <w:sz w:val="21"/>
          <w:szCs w:val="21"/>
          <w:lang w:eastAsia="zh-TW" w:bidi="ar-SA"/>
        </w:rPr>
      </w:pPr>
      <w:r w:rsidRPr="00852E9D">
        <w:rPr>
          <w:rFonts w:eastAsia="PMingLiU" w:hAnsi="Times New Roman" w:hint="eastAsia"/>
          <w:sz w:val="21"/>
          <w:szCs w:val="21"/>
          <w:lang w:eastAsia="zh-TW" w:bidi="ar-SA"/>
        </w:rPr>
        <w:t>截至本公佈日期，董事會由兩名執行董事組成，即郭夏先生和宋雪梅博士；兩名非執行董事，即張麗女士和王大軍博士；四名獨立非執行董事，即倪彬暉博士、郭彤先生、伍霜駟先生和劉娜女士。</w:t>
      </w:r>
    </w:p>
    <w:p w14:paraId="227C4F7E" w14:textId="2D4FD874" w:rsidR="007523C1" w:rsidRPr="00852E9D" w:rsidRDefault="00EB333D" w:rsidP="007523C1">
      <w:pPr>
        <w:adjustRightInd w:val="0"/>
        <w:rPr>
          <w:rFonts w:eastAsia="PMingLiU" w:hAnsi="Times New Roman"/>
          <w:sz w:val="21"/>
          <w:szCs w:val="21"/>
          <w:lang w:eastAsia="zh-TW" w:bidi="ar-SA"/>
        </w:rPr>
      </w:pPr>
      <w:r w:rsidRPr="00852E9D">
        <w:rPr>
          <w:rFonts w:eastAsia="PMingLiU" w:hAnsi="Times New Roman" w:hint="eastAsia"/>
          <w:sz w:val="21"/>
          <w:szCs w:val="21"/>
          <w:lang w:eastAsia="zh-TW" w:bidi="ar-SA"/>
        </w:rPr>
        <w:t>本公告載有根據</w:t>
      </w:r>
      <w:r w:rsidRPr="00852E9D">
        <w:rPr>
          <w:rFonts w:eastAsia="PMingLiU" w:hAnsi="Times New Roman"/>
          <w:sz w:val="21"/>
          <w:szCs w:val="21"/>
          <w:lang w:eastAsia="zh-TW" w:bidi="ar-SA"/>
        </w:rPr>
        <w:t xml:space="preserve">GEM </w:t>
      </w:r>
      <w:r w:rsidRPr="00852E9D">
        <w:rPr>
          <w:rFonts w:eastAsia="PMingLiU" w:hAnsi="Times New Roman" w:hint="eastAsia"/>
          <w:sz w:val="21"/>
          <w:szCs w:val="21"/>
          <w:lang w:eastAsia="zh-TW" w:bidi="ar-SA"/>
        </w:rPr>
        <w:t>上市規則規定須提供有關本公司資料的詳情，董事願就本公佈共同及個別地承擔全部責任。各董事在作出一切合理查詢後確認，就彼等所知及所信，本公佈所載的資料在各重大方面乃準確完整</w:t>
      </w:r>
      <w:r w:rsidRPr="00852E9D">
        <w:rPr>
          <w:rFonts w:eastAsia="PMingLiU" w:hAnsi="Times New Roman"/>
          <w:sz w:val="21"/>
          <w:szCs w:val="21"/>
          <w:lang w:eastAsia="zh-TW" w:bidi="ar-SA"/>
        </w:rPr>
        <w:t>,</w:t>
      </w:r>
      <w:r w:rsidRPr="00852E9D">
        <w:rPr>
          <w:rFonts w:eastAsia="PMingLiU" w:hAnsi="Times New Roman" w:hint="eastAsia"/>
          <w:sz w:val="21"/>
          <w:szCs w:val="21"/>
          <w:lang w:eastAsia="zh-TW" w:bidi="ar-SA"/>
        </w:rPr>
        <w:t>無誤導或欺詐成份，且概無遺漏任何其他事宜致使本公佈或其所載任何陳述產生誤導。</w:t>
      </w:r>
    </w:p>
    <w:p w14:paraId="06DC16F8" w14:textId="648638A9" w:rsidR="00EC6CD9" w:rsidRPr="00852E9D" w:rsidRDefault="00EB333D" w:rsidP="00472C69">
      <w:pPr>
        <w:adjustRightInd w:val="0"/>
        <w:rPr>
          <w:rFonts w:eastAsia="PMingLiU" w:hAnsi="Times New Roman"/>
          <w:sz w:val="21"/>
          <w:szCs w:val="21"/>
          <w:lang w:eastAsia="zh-TW" w:bidi="ar-SA"/>
        </w:rPr>
      </w:pPr>
      <w:r w:rsidRPr="00852E9D">
        <w:rPr>
          <w:rFonts w:eastAsia="PMingLiU" w:hAnsi="Times New Roman" w:hint="eastAsia"/>
          <w:sz w:val="21"/>
          <w:szCs w:val="21"/>
          <w:lang w:eastAsia="zh-TW" w:bidi="ar-SA"/>
        </w:rPr>
        <w:t>本公告將於聯交所網址</w:t>
      </w:r>
      <w:r w:rsidRPr="00852E9D">
        <w:rPr>
          <w:rFonts w:eastAsia="PMingLiU" w:hAnsi="Times New Roman"/>
          <w:sz w:val="21"/>
          <w:szCs w:val="21"/>
          <w:lang w:eastAsia="zh-TW" w:bidi="ar-SA"/>
        </w:rPr>
        <w:t xml:space="preserve">www.hkexnews.hk </w:t>
      </w:r>
      <w:r w:rsidRPr="00852E9D">
        <w:rPr>
          <w:rFonts w:eastAsia="PMingLiU" w:hAnsi="Times New Roman" w:hint="eastAsia"/>
          <w:sz w:val="21"/>
          <w:szCs w:val="21"/>
          <w:lang w:eastAsia="zh-TW" w:bidi="ar-SA"/>
        </w:rPr>
        <w:t>之「最新上市公司公告」網頁刊載，由刊載日期起計為期七日，並於本公司網址</w:t>
      </w:r>
      <w:r w:rsidRPr="00852E9D">
        <w:rPr>
          <w:rFonts w:eastAsia="PMingLiU" w:hAnsi="Times New Roman"/>
          <w:sz w:val="21"/>
          <w:szCs w:val="21"/>
          <w:lang w:eastAsia="zh-TW" w:bidi="ar-SA"/>
        </w:rPr>
        <w:t xml:space="preserve">http://www.chgi.net </w:t>
      </w:r>
      <w:r w:rsidRPr="00852E9D">
        <w:rPr>
          <w:rFonts w:eastAsia="PMingLiU" w:hAnsi="Times New Roman" w:hint="eastAsia"/>
          <w:sz w:val="21"/>
          <w:szCs w:val="21"/>
          <w:lang w:eastAsia="zh-TW" w:bidi="ar-SA"/>
        </w:rPr>
        <w:t>網頁刊載。</w:t>
      </w:r>
    </w:p>
    <w:p w14:paraId="78319360" w14:textId="20EFB028" w:rsidR="00C005EC" w:rsidRDefault="00C005EC" w:rsidP="007523C1">
      <w:pPr>
        <w:pStyle w:val="a5"/>
        <w:spacing w:before="5"/>
        <w:rPr>
          <w:rFonts w:hAnsi="Times New Roman"/>
          <w:sz w:val="23"/>
          <w:szCs w:val="23"/>
          <w:lang w:eastAsia="zh-CN" w:bidi="ar-SA"/>
        </w:rPr>
      </w:pPr>
    </w:p>
    <w:sectPr w:rsidR="00C005EC" w:rsidSect="004F5783">
      <w:footerReference w:type="default" r:id="rId10"/>
      <w:pgSz w:w="12240" w:h="15840"/>
      <w:pgMar w:top="1361" w:right="941" w:bottom="902" w:left="941" w:header="0" w:footer="7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73C4C3" w14:textId="77777777" w:rsidR="007B6237" w:rsidRDefault="007B6237">
      <w:r>
        <w:separator/>
      </w:r>
    </w:p>
  </w:endnote>
  <w:endnote w:type="continuationSeparator" w:id="0">
    <w:p w14:paraId="077AA9F7" w14:textId="77777777" w:rsidR="007B6237" w:rsidRDefault="007B6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 w:name="PMingLiU">
    <w:altName w:val="Arial Unicode MS"/>
    <w:panose1 w:val="02010601000101010101"/>
    <w:charset w:val="88"/>
    <w:family w:val="roman"/>
    <w:pitch w:val="variable"/>
    <w:sig w:usb0="00000000"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3B13BB" w14:textId="77777777" w:rsidR="00EC6CD9" w:rsidRDefault="00A26DF3">
    <w:pPr>
      <w:pStyle w:val="a5"/>
      <w:spacing w:line="14" w:lineRule="auto"/>
      <w:rPr>
        <w:sz w:val="20"/>
      </w:rPr>
    </w:pPr>
    <w:r>
      <w:rPr>
        <w:noProof/>
        <w:lang w:eastAsia="zh-CN" w:bidi="ar-SA"/>
      </w:rPr>
      <mc:AlternateContent>
        <mc:Choice Requires="wps">
          <w:drawing>
            <wp:anchor distT="0" distB="0" distL="114300" distR="114300" simplePos="0" relativeHeight="251658240" behindDoc="1" locked="0" layoutInCell="1" allowOverlap="1" wp14:anchorId="7C078EA9" wp14:editId="48F8DCDC">
              <wp:simplePos x="0" y="0"/>
              <wp:positionH relativeFrom="page">
                <wp:posOffset>3803015</wp:posOffset>
              </wp:positionH>
              <wp:positionV relativeFrom="page">
                <wp:posOffset>9463405</wp:posOffset>
              </wp:positionV>
              <wp:extent cx="167005" cy="152400"/>
              <wp:effectExtent l="0" t="0" r="0" b="0"/>
              <wp:wrapNone/>
              <wp:docPr id="53" name="文本框 1"/>
              <wp:cNvGraphicFramePr/>
              <a:graphic xmlns:a="http://schemas.openxmlformats.org/drawingml/2006/main">
                <a:graphicData uri="http://schemas.microsoft.com/office/word/2010/wordprocessingShape">
                  <wps:wsp>
                    <wps:cNvSpPr txBox="1"/>
                    <wps:spPr>
                      <a:xfrm>
                        <a:off x="0" y="0"/>
                        <a:ext cx="167005" cy="152400"/>
                      </a:xfrm>
                      <a:prstGeom prst="rect">
                        <a:avLst/>
                      </a:prstGeom>
                      <a:noFill/>
                      <a:ln>
                        <a:noFill/>
                      </a:ln>
                    </wps:spPr>
                    <wps:txbx>
                      <w:txbxContent>
                        <w:p w14:paraId="0E3DBA51" w14:textId="1811686E" w:rsidR="00EC6CD9" w:rsidRDefault="00A26DF3">
                          <w:pPr>
                            <w:spacing w:before="12"/>
                            <w:ind w:left="40"/>
                            <w:rPr>
                              <w:rFonts w:ascii="Times New Roman"/>
                              <w:sz w:val="18"/>
                            </w:rPr>
                          </w:pPr>
                          <w:r>
                            <w:fldChar w:fldCharType="begin"/>
                          </w:r>
                          <w:r>
                            <w:rPr>
                              <w:rFonts w:ascii="Times New Roman"/>
                              <w:sz w:val="18"/>
                            </w:rPr>
                            <w:instrText xml:space="preserve"> PAGE </w:instrText>
                          </w:r>
                          <w:r>
                            <w:fldChar w:fldCharType="separate"/>
                          </w:r>
                          <w:r w:rsidR="002522D1">
                            <w:rPr>
                              <w:rFonts w:ascii="Times New Roman"/>
                              <w:noProof/>
                              <w:sz w:val="18"/>
                            </w:rPr>
                            <w:t>3</w:t>
                          </w:r>
                          <w:r>
                            <w:fldChar w:fldCharType="end"/>
                          </w:r>
                        </w:p>
                      </w:txbxContent>
                    </wps:txbx>
                    <wps:bodyPr lIns="0" tIns="0" rIns="0" bIns="0" upright="1"/>
                  </wps:wsp>
                </a:graphicData>
              </a:graphic>
            </wp:anchor>
          </w:drawing>
        </mc:Choice>
        <mc:Fallback>
          <w:pict>
            <v:shapetype w14:anchorId="7C078EA9" id="_x0000_t202" coordsize="21600,21600" o:spt="202" path="m,l,21600r21600,l21600,xe">
              <v:stroke joinstyle="miter"/>
              <v:path gradientshapeok="t" o:connecttype="rect"/>
            </v:shapetype>
            <v:shape id="文本框 1" o:spid="_x0000_s1026" type="#_x0000_t202" style="position:absolute;margin-left:299.45pt;margin-top:745.15pt;width:13.15pt;height:12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" filled="f" stroked="f">
              <v:textbox inset="0,0,0,0">
                <w:txbxContent>
                  <w:p w14:paraId="0E3DBA51" w14:textId="1811686E" w:rsidR="00EC6CD9" w:rsidRDefault="00A26DF3">
                    <w:pPr>
                      <w:spacing w:before="12"/>
                      <w:ind w:left="40"/>
                      <w:rPr>
                        <w:rFonts w:ascii="Times New Roman"/>
                        <w:sz w:val="18"/>
                      </w:rPr>
                    </w:pPr>
                    <w:r>
                      <w:fldChar w:fldCharType="begin"/>
                    </w:r>
                    <w:r>
                      <w:rPr>
                        <w:rFonts w:ascii="Times New Roman"/>
                        <w:sz w:val="18"/>
                      </w:rPr>
                      <w:instrText xml:space="preserve"> PAGE </w:instrText>
                    </w:r>
                    <w:r>
                      <w:fldChar w:fldCharType="separate"/>
                    </w:r>
                    <w:r w:rsidR="002522D1">
                      <w:rPr>
                        <w:rFonts w:ascii="Times New Roman"/>
                        <w:noProof/>
                        <w:sz w:val="18"/>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114E57" w14:textId="77777777" w:rsidR="007B6237" w:rsidRDefault="007B6237">
      <w:r>
        <w:separator/>
      </w:r>
    </w:p>
  </w:footnote>
  <w:footnote w:type="continuationSeparator" w:id="0">
    <w:p w14:paraId="25F075C0" w14:textId="77777777" w:rsidR="007B6237" w:rsidRDefault="007B62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5E306ED"/>
    <w:multiLevelType w:val="multilevel"/>
    <w:tmpl w:val="B5E306ED"/>
    <w:lvl w:ilvl="0">
      <w:start w:val="1"/>
      <w:numFmt w:val="lowerLetter"/>
      <w:lvlText w:val="（%1）"/>
      <w:lvlJc w:val="left"/>
      <w:pPr>
        <w:ind w:left="1400" w:hanging="720"/>
      </w:pPr>
      <w:rPr>
        <w:rFonts w:ascii="微软雅黑" w:eastAsia="微软雅黑" w:hAnsi="微软雅黑" w:cs="微软雅黑" w:hint="default"/>
        <w:spacing w:val="-1"/>
        <w:w w:val="100"/>
        <w:sz w:val="21"/>
        <w:szCs w:val="21"/>
        <w:lang w:val="en-US" w:eastAsia="en-US" w:bidi="en-US"/>
      </w:rPr>
    </w:lvl>
    <w:lvl w:ilvl="1">
      <w:numFmt w:val="bullet"/>
      <w:lvlText w:val="•"/>
      <w:lvlJc w:val="left"/>
      <w:pPr>
        <w:ind w:left="2360" w:hanging="720"/>
      </w:pPr>
      <w:rPr>
        <w:rFonts w:hint="default"/>
        <w:lang w:val="en-US" w:eastAsia="en-US" w:bidi="en-US"/>
      </w:rPr>
    </w:lvl>
    <w:lvl w:ilvl="2">
      <w:numFmt w:val="bullet"/>
      <w:lvlText w:val="•"/>
      <w:lvlJc w:val="left"/>
      <w:pPr>
        <w:ind w:left="3320" w:hanging="720"/>
      </w:pPr>
      <w:rPr>
        <w:rFonts w:hint="default"/>
        <w:lang w:val="en-US" w:eastAsia="en-US" w:bidi="en-US"/>
      </w:rPr>
    </w:lvl>
    <w:lvl w:ilvl="3">
      <w:numFmt w:val="bullet"/>
      <w:lvlText w:val="•"/>
      <w:lvlJc w:val="left"/>
      <w:pPr>
        <w:ind w:left="4280" w:hanging="720"/>
      </w:pPr>
      <w:rPr>
        <w:rFonts w:hint="default"/>
        <w:lang w:val="en-US" w:eastAsia="en-US" w:bidi="en-US"/>
      </w:rPr>
    </w:lvl>
    <w:lvl w:ilvl="4">
      <w:numFmt w:val="bullet"/>
      <w:lvlText w:val="•"/>
      <w:lvlJc w:val="left"/>
      <w:pPr>
        <w:ind w:left="5240" w:hanging="720"/>
      </w:pPr>
      <w:rPr>
        <w:rFonts w:hint="default"/>
        <w:lang w:val="en-US" w:eastAsia="en-US" w:bidi="en-US"/>
      </w:rPr>
    </w:lvl>
    <w:lvl w:ilvl="5">
      <w:numFmt w:val="bullet"/>
      <w:lvlText w:val="•"/>
      <w:lvlJc w:val="left"/>
      <w:pPr>
        <w:ind w:left="6200" w:hanging="720"/>
      </w:pPr>
      <w:rPr>
        <w:rFonts w:hint="default"/>
        <w:lang w:val="en-US" w:eastAsia="en-US" w:bidi="en-US"/>
      </w:rPr>
    </w:lvl>
    <w:lvl w:ilvl="6">
      <w:numFmt w:val="bullet"/>
      <w:lvlText w:val="•"/>
      <w:lvlJc w:val="left"/>
      <w:pPr>
        <w:ind w:left="7160" w:hanging="720"/>
      </w:pPr>
      <w:rPr>
        <w:rFonts w:hint="default"/>
        <w:lang w:val="en-US" w:eastAsia="en-US" w:bidi="en-US"/>
      </w:rPr>
    </w:lvl>
    <w:lvl w:ilvl="7">
      <w:numFmt w:val="bullet"/>
      <w:lvlText w:val="•"/>
      <w:lvlJc w:val="left"/>
      <w:pPr>
        <w:ind w:left="8120" w:hanging="720"/>
      </w:pPr>
      <w:rPr>
        <w:rFonts w:hint="default"/>
        <w:lang w:val="en-US" w:eastAsia="en-US" w:bidi="en-US"/>
      </w:rPr>
    </w:lvl>
    <w:lvl w:ilvl="8">
      <w:numFmt w:val="bullet"/>
      <w:lvlText w:val="•"/>
      <w:lvlJc w:val="left"/>
      <w:pPr>
        <w:ind w:left="9080" w:hanging="720"/>
      </w:pPr>
      <w:rPr>
        <w:rFonts w:hint="default"/>
        <w:lang w:val="en-US" w:eastAsia="en-US" w:bidi="en-US"/>
      </w:rPr>
    </w:lvl>
  </w:abstractNum>
  <w:abstractNum w:abstractNumId="1" w15:restartNumberingAfterBreak="0">
    <w:nsid w:val="CF092B84"/>
    <w:multiLevelType w:val="multilevel"/>
    <w:tmpl w:val="CF092B84"/>
    <w:lvl w:ilvl="0">
      <w:start w:val="1"/>
      <w:numFmt w:val="decimal"/>
      <w:lvlText w:val="%1."/>
      <w:lvlJc w:val="left"/>
      <w:pPr>
        <w:ind w:left="954" w:hanging="274"/>
      </w:pPr>
      <w:rPr>
        <w:rFonts w:hint="default"/>
        <w:spacing w:val="0"/>
        <w:w w:val="100"/>
        <w:lang w:val="en-US" w:eastAsia="en-US" w:bidi="en-US"/>
      </w:rPr>
    </w:lvl>
    <w:lvl w:ilvl="1">
      <w:start w:val="1"/>
      <w:numFmt w:val="lowerLetter"/>
      <w:lvlText w:val="（%2）"/>
      <w:lvlJc w:val="left"/>
      <w:pPr>
        <w:ind w:left="1557" w:hanging="517"/>
      </w:pPr>
      <w:rPr>
        <w:rFonts w:ascii="宋体" w:eastAsia="宋体" w:hAnsi="宋体" w:cs="宋体" w:hint="default"/>
        <w:spacing w:val="-3"/>
        <w:w w:val="100"/>
        <w:sz w:val="19"/>
        <w:szCs w:val="19"/>
        <w:lang w:val="en-US" w:eastAsia="en-US" w:bidi="en-US"/>
      </w:rPr>
    </w:lvl>
    <w:lvl w:ilvl="2">
      <w:numFmt w:val="bullet"/>
      <w:lvlText w:val="•"/>
      <w:lvlJc w:val="left"/>
      <w:pPr>
        <w:ind w:left="2608" w:hanging="517"/>
      </w:pPr>
      <w:rPr>
        <w:rFonts w:hint="default"/>
        <w:lang w:val="en-US" w:eastAsia="en-US" w:bidi="en-US"/>
      </w:rPr>
    </w:lvl>
    <w:lvl w:ilvl="3">
      <w:numFmt w:val="bullet"/>
      <w:lvlText w:val="•"/>
      <w:lvlJc w:val="left"/>
      <w:pPr>
        <w:ind w:left="3657" w:hanging="517"/>
      </w:pPr>
      <w:rPr>
        <w:rFonts w:hint="default"/>
        <w:lang w:val="en-US" w:eastAsia="en-US" w:bidi="en-US"/>
      </w:rPr>
    </w:lvl>
    <w:lvl w:ilvl="4">
      <w:numFmt w:val="bullet"/>
      <w:lvlText w:val="•"/>
      <w:lvlJc w:val="left"/>
      <w:pPr>
        <w:ind w:left="4706" w:hanging="517"/>
      </w:pPr>
      <w:rPr>
        <w:rFonts w:hint="default"/>
        <w:lang w:val="en-US" w:eastAsia="en-US" w:bidi="en-US"/>
      </w:rPr>
    </w:lvl>
    <w:lvl w:ilvl="5">
      <w:numFmt w:val="bullet"/>
      <w:lvlText w:val="•"/>
      <w:lvlJc w:val="left"/>
      <w:pPr>
        <w:ind w:left="5755" w:hanging="517"/>
      </w:pPr>
      <w:rPr>
        <w:rFonts w:hint="default"/>
        <w:lang w:val="en-US" w:eastAsia="en-US" w:bidi="en-US"/>
      </w:rPr>
    </w:lvl>
    <w:lvl w:ilvl="6">
      <w:numFmt w:val="bullet"/>
      <w:lvlText w:val="•"/>
      <w:lvlJc w:val="left"/>
      <w:pPr>
        <w:ind w:left="6804" w:hanging="517"/>
      </w:pPr>
      <w:rPr>
        <w:rFonts w:hint="default"/>
        <w:lang w:val="en-US" w:eastAsia="en-US" w:bidi="en-US"/>
      </w:rPr>
    </w:lvl>
    <w:lvl w:ilvl="7">
      <w:numFmt w:val="bullet"/>
      <w:lvlText w:val="•"/>
      <w:lvlJc w:val="left"/>
      <w:pPr>
        <w:ind w:left="7853" w:hanging="517"/>
      </w:pPr>
      <w:rPr>
        <w:rFonts w:hint="default"/>
        <w:lang w:val="en-US" w:eastAsia="en-US" w:bidi="en-US"/>
      </w:rPr>
    </w:lvl>
    <w:lvl w:ilvl="8">
      <w:numFmt w:val="bullet"/>
      <w:lvlText w:val="•"/>
      <w:lvlJc w:val="left"/>
      <w:pPr>
        <w:ind w:left="8902" w:hanging="517"/>
      </w:pPr>
      <w:rPr>
        <w:rFonts w:hint="default"/>
        <w:lang w:val="en-US" w:eastAsia="en-US" w:bidi="en-US"/>
      </w:rPr>
    </w:lvl>
  </w:abstractNum>
  <w:abstractNum w:abstractNumId="2" w15:restartNumberingAfterBreak="0">
    <w:nsid w:val="0053208E"/>
    <w:multiLevelType w:val="multilevel"/>
    <w:tmpl w:val="0053208E"/>
    <w:lvl w:ilvl="0">
      <w:start w:val="1"/>
      <w:numFmt w:val="decimal"/>
      <w:lvlText w:val="%1."/>
      <w:lvlJc w:val="left"/>
      <w:pPr>
        <w:ind w:left="994" w:hanging="312"/>
      </w:pPr>
      <w:rPr>
        <w:rFonts w:ascii="Times New Roman" w:eastAsia="Times New Roman" w:hAnsi="Times New Roman" w:cs="Times New Roman" w:hint="default"/>
        <w:w w:val="100"/>
        <w:sz w:val="21"/>
        <w:szCs w:val="21"/>
        <w:lang w:val="en-US" w:eastAsia="en-US" w:bidi="en-US"/>
      </w:rPr>
    </w:lvl>
    <w:lvl w:ilvl="1">
      <w:numFmt w:val="bullet"/>
      <w:lvlText w:val="•"/>
      <w:lvlJc w:val="left"/>
      <w:pPr>
        <w:ind w:left="2000" w:hanging="312"/>
      </w:pPr>
      <w:rPr>
        <w:rFonts w:hint="default"/>
        <w:lang w:val="en-US" w:eastAsia="en-US" w:bidi="en-US"/>
      </w:rPr>
    </w:lvl>
    <w:lvl w:ilvl="2">
      <w:numFmt w:val="bullet"/>
      <w:lvlText w:val="•"/>
      <w:lvlJc w:val="left"/>
      <w:pPr>
        <w:ind w:left="3000" w:hanging="312"/>
      </w:pPr>
      <w:rPr>
        <w:rFonts w:hint="default"/>
        <w:lang w:val="en-US" w:eastAsia="en-US" w:bidi="en-US"/>
      </w:rPr>
    </w:lvl>
    <w:lvl w:ilvl="3">
      <w:numFmt w:val="bullet"/>
      <w:lvlText w:val="•"/>
      <w:lvlJc w:val="left"/>
      <w:pPr>
        <w:ind w:left="4000" w:hanging="312"/>
      </w:pPr>
      <w:rPr>
        <w:rFonts w:hint="default"/>
        <w:lang w:val="en-US" w:eastAsia="en-US" w:bidi="en-US"/>
      </w:rPr>
    </w:lvl>
    <w:lvl w:ilvl="4">
      <w:numFmt w:val="bullet"/>
      <w:lvlText w:val="•"/>
      <w:lvlJc w:val="left"/>
      <w:pPr>
        <w:ind w:left="5000" w:hanging="312"/>
      </w:pPr>
      <w:rPr>
        <w:rFonts w:hint="default"/>
        <w:lang w:val="en-US" w:eastAsia="en-US" w:bidi="en-US"/>
      </w:rPr>
    </w:lvl>
    <w:lvl w:ilvl="5">
      <w:numFmt w:val="bullet"/>
      <w:lvlText w:val="•"/>
      <w:lvlJc w:val="left"/>
      <w:pPr>
        <w:ind w:left="6000" w:hanging="312"/>
      </w:pPr>
      <w:rPr>
        <w:rFonts w:hint="default"/>
        <w:lang w:val="en-US" w:eastAsia="en-US" w:bidi="en-US"/>
      </w:rPr>
    </w:lvl>
    <w:lvl w:ilvl="6">
      <w:numFmt w:val="bullet"/>
      <w:lvlText w:val="•"/>
      <w:lvlJc w:val="left"/>
      <w:pPr>
        <w:ind w:left="7000" w:hanging="312"/>
      </w:pPr>
      <w:rPr>
        <w:rFonts w:hint="default"/>
        <w:lang w:val="en-US" w:eastAsia="en-US" w:bidi="en-US"/>
      </w:rPr>
    </w:lvl>
    <w:lvl w:ilvl="7">
      <w:numFmt w:val="bullet"/>
      <w:lvlText w:val="•"/>
      <w:lvlJc w:val="left"/>
      <w:pPr>
        <w:ind w:left="8000" w:hanging="312"/>
      </w:pPr>
      <w:rPr>
        <w:rFonts w:hint="default"/>
        <w:lang w:val="en-US" w:eastAsia="en-US" w:bidi="en-US"/>
      </w:rPr>
    </w:lvl>
    <w:lvl w:ilvl="8">
      <w:numFmt w:val="bullet"/>
      <w:lvlText w:val="•"/>
      <w:lvlJc w:val="left"/>
      <w:pPr>
        <w:ind w:left="9000" w:hanging="312"/>
      </w:pPr>
      <w:rPr>
        <w:rFonts w:hint="default"/>
        <w:lang w:val="en-US" w:eastAsia="en-US" w:bidi="en-US"/>
      </w:rPr>
    </w:lvl>
  </w:abstractNum>
  <w:abstractNum w:abstractNumId="3" w15:restartNumberingAfterBreak="0">
    <w:nsid w:val="03D62ECE"/>
    <w:multiLevelType w:val="multilevel"/>
    <w:tmpl w:val="03D62ECE"/>
    <w:lvl w:ilvl="0">
      <w:start w:val="1"/>
      <w:numFmt w:val="lowerLetter"/>
      <w:lvlText w:val="（%1）"/>
      <w:lvlJc w:val="left"/>
      <w:pPr>
        <w:ind w:left="1315" w:hanging="635"/>
      </w:pPr>
      <w:rPr>
        <w:rFonts w:ascii="Microsoft JhengHei" w:eastAsia="Microsoft JhengHei" w:hAnsi="Microsoft JhengHei" w:cs="Microsoft JhengHei" w:hint="default"/>
        <w:b/>
        <w:bCs/>
        <w:spacing w:val="-3"/>
        <w:w w:val="100"/>
        <w:sz w:val="19"/>
        <w:szCs w:val="19"/>
        <w:lang w:val="en-US" w:eastAsia="en-US" w:bidi="en-US"/>
      </w:rPr>
    </w:lvl>
    <w:lvl w:ilvl="1">
      <w:numFmt w:val="bullet"/>
      <w:lvlText w:val="•"/>
      <w:lvlJc w:val="left"/>
      <w:pPr>
        <w:ind w:left="2288" w:hanging="635"/>
      </w:pPr>
      <w:rPr>
        <w:rFonts w:hint="default"/>
        <w:lang w:val="en-US" w:eastAsia="en-US" w:bidi="en-US"/>
      </w:rPr>
    </w:lvl>
    <w:lvl w:ilvl="2">
      <w:numFmt w:val="bullet"/>
      <w:lvlText w:val="•"/>
      <w:lvlJc w:val="left"/>
      <w:pPr>
        <w:ind w:left="3256" w:hanging="635"/>
      </w:pPr>
      <w:rPr>
        <w:rFonts w:hint="default"/>
        <w:lang w:val="en-US" w:eastAsia="en-US" w:bidi="en-US"/>
      </w:rPr>
    </w:lvl>
    <w:lvl w:ilvl="3">
      <w:numFmt w:val="bullet"/>
      <w:lvlText w:val="•"/>
      <w:lvlJc w:val="left"/>
      <w:pPr>
        <w:ind w:left="4224" w:hanging="635"/>
      </w:pPr>
      <w:rPr>
        <w:rFonts w:hint="default"/>
        <w:lang w:val="en-US" w:eastAsia="en-US" w:bidi="en-US"/>
      </w:rPr>
    </w:lvl>
    <w:lvl w:ilvl="4">
      <w:numFmt w:val="bullet"/>
      <w:lvlText w:val="•"/>
      <w:lvlJc w:val="left"/>
      <w:pPr>
        <w:ind w:left="5192" w:hanging="635"/>
      </w:pPr>
      <w:rPr>
        <w:rFonts w:hint="default"/>
        <w:lang w:val="en-US" w:eastAsia="en-US" w:bidi="en-US"/>
      </w:rPr>
    </w:lvl>
    <w:lvl w:ilvl="5">
      <w:numFmt w:val="bullet"/>
      <w:lvlText w:val="•"/>
      <w:lvlJc w:val="left"/>
      <w:pPr>
        <w:ind w:left="6160" w:hanging="635"/>
      </w:pPr>
      <w:rPr>
        <w:rFonts w:hint="default"/>
        <w:lang w:val="en-US" w:eastAsia="en-US" w:bidi="en-US"/>
      </w:rPr>
    </w:lvl>
    <w:lvl w:ilvl="6">
      <w:numFmt w:val="bullet"/>
      <w:lvlText w:val="•"/>
      <w:lvlJc w:val="left"/>
      <w:pPr>
        <w:ind w:left="7128" w:hanging="635"/>
      </w:pPr>
      <w:rPr>
        <w:rFonts w:hint="default"/>
        <w:lang w:val="en-US" w:eastAsia="en-US" w:bidi="en-US"/>
      </w:rPr>
    </w:lvl>
    <w:lvl w:ilvl="7">
      <w:numFmt w:val="bullet"/>
      <w:lvlText w:val="•"/>
      <w:lvlJc w:val="left"/>
      <w:pPr>
        <w:ind w:left="8096" w:hanging="635"/>
      </w:pPr>
      <w:rPr>
        <w:rFonts w:hint="default"/>
        <w:lang w:val="en-US" w:eastAsia="en-US" w:bidi="en-US"/>
      </w:rPr>
    </w:lvl>
    <w:lvl w:ilvl="8">
      <w:numFmt w:val="bullet"/>
      <w:lvlText w:val="•"/>
      <w:lvlJc w:val="left"/>
      <w:pPr>
        <w:ind w:left="9064" w:hanging="635"/>
      </w:pPr>
      <w:rPr>
        <w:rFonts w:hint="default"/>
        <w:lang w:val="en-US" w:eastAsia="en-US" w:bidi="en-US"/>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drawingGridHorizontalSpacing w:val="11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YzOGMxNjY4YjkxZTY0NjNiYmVlZTYxZjZiMzQyMDQifQ=="/>
  </w:docVars>
  <w:rsids>
    <w:rsidRoot w:val="0060651C"/>
    <w:rsid w:val="000A785C"/>
    <w:rsid w:val="000B17E3"/>
    <w:rsid w:val="000B597C"/>
    <w:rsid w:val="000D7963"/>
    <w:rsid w:val="000E3927"/>
    <w:rsid w:val="00184126"/>
    <w:rsid w:val="00197B5C"/>
    <w:rsid w:val="001B0EB3"/>
    <w:rsid w:val="001F0D69"/>
    <w:rsid w:val="002067E9"/>
    <w:rsid w:val="0021638D"/>
    <w:rsid w:val="00217AE1"/>
    <w:rsid w:val="002218D0"/>
    <w:rsid w:val="00225CB4"/>
    <w:rsid w:val="00234954"/>
    <w:rsid w:val="00235C50"/>
    <w:rsid w:val="002522D1"/>
    <w:rsid w:val="00263D09"/>
    <w:rsid w:val="00271948"/>
    <w:rsid w:val="002A030A"/>
    <w:rsid w:val="002B03F4"/>
    <w:rsid w:val="002B4D19"/>
    <w:rsid w:val="002E2E94"/>
    <w:rsid w:val="00315FA5"/>
    <w:rsid w:val="00331F6E"/>
    <w:rsid w:val="00344CA3"/>
    <w:rsid w:val="003708FD"/>
    <w:rsid w:val="00373298"/>
    <w:rsid w:val="00381B49"/>
    <w:rsid w:val="003C0FD3"/>
    <w:rsid w:val="003C3CC7"/>
    <w:rsid w:val="003D5568"/>
    <w:rsid w:val="003D7FCB"/>
    <w:rsid w:val="003E4F9A"/>
    <w:rsid w:val="00410B41"/>
    <w:rsid w:val="00423CE2"/>
    <w:rsid w:val="00446FA1"/>
    <w:rsid w:val="00472C69"/>
    <w:rsid w:val="0048307D"/>
    <w:rsid w:val="0049053C"/>
    <w:rsid w:val="004A7A34"/>
    <w:rsid w:val="004F4318"/>
    <w:rsid w:val="004F5783"/>
    <w:rsid w:val="0051294A"/>
    <w:rsid w:val="00514C86"/>
    <w:rsid w:val="0054097C"/>
    <w:rsid w:val="00567F0E"/>
    <w:rsid w:val="005A0649"/>
    <w:rsid w:val="005B05CA"/>
    <w:rsid w:val="005B5CCA"/>
    <w:rsid w:val="005D13E7"/>
    <w:rsid w:val="005D634D"/>
    <w:rsid w:val="005D7436"/>
    <w:rsid w:val="005E6EC5"/>
    <w:rsid w:val="0060651C"/>
    <w:rsid w:val="00624A26"/>
    <w:rsid w:val="00643E29"/>
    <w:rsid w:val="00656105"/>
    <w:rsid w:val="006C2A44"/>
    <w:rsid w:val="006D1352"/>
    <w:rsid w:val="006D6F2D"/>
    <w:rsid w:val="006E31B5"/>
    <w:rsid w:val="007250C8"/>
    <w:rsid w:val="007523C1"/>
    <w:rsid w:val="00760CF8"/>
    <w:rsid w:val="007841A2"/>
    <w:rsid w:val="007B6237"/>
    <w:rsid w:val="007D5D6A"/>
    <w:rsid w:val="00816AB4"/>
    <w:rsid w:val="00837462"/>
    <w:rsid w:val="00852E9D"/>
    <w:rsid w:val="00862061"/>
    <w:rsid w:val="00883EA3"/>
    <w:rsid w:val="00894111"/>
    <w:rsid w:val="008B1620"/>
    <w:rsid w:val="008B3809"/>
    <w:rsid w:val="008D0B3D"/>
    <w:rsid w:val="008D5578"/>
    <w:rsid w:val="009047A6"/>
    <w:rsid w:val="0092797E"/>
    <w:rsid w:val="009A0F75"/>
    <w:rsid w:val="009A1E01"/>
    <w:rsid w:val="00A06D38"/>
    <w:rsid w:val="00A157E6"/>
    <w:rsid w:val="00A26DF3"/>
    <w:rsid w:val="00A55B51"/>
    <w:rsid w:val="00A90309"/>
    <w:rsid w:val="00AA4E92"/>
    <w:rsid w:val="00AA75D1"/>
    <w:rsid w:val="00AD574F"/>
    <w:rsid w:val="00AF4FD7"/>
    <w:rsid w:val="00B16440"/>
    <w:rsid w:val="00B549C0"/>
    <w:rsid w:val="00B61168"/>
    <w:rsid w:val="00B62EED"/>
    <w:rsid w:val="00B6382F"/>
    <w:rsid w:val="00B82CF0"/>
    <w:rsid w:val="00BA6AB6"/>
    <w:rsid w:val="00BB502C"/>
    <w:rsid w:val="00BC2882"/>
    <w:rsid w:val="00BD31D5"/>
    <w:rsid w:val="00C005EC"/>
    <w:rsid w:val="00C51F52"/>
    <w:rsid w:val="00C54D15"/>
    <w:rsid w:val="00C76DD6"/>
    <w:rsid w:val="00C86883"/>
    <w:rsid w:val="00C868EC"/>
    <w:rsid w:val="00CB7325"/>
    <w:rsid w:val="00CD1DE9"/>
    <w:rsid w:val="00D50BB8"/>
    <w:rsid w:val="00D51730"/>
    <w:rsid w:val="00DC7B94"/>
    <w:rsid w:val="00DC7F36"/>
    <w:rsid w:val="00DD4C9D"/>
    <w:rsid w:val="00DF15CE"/>
    <w:rsid w:val="00E014D4"/>
    <w:rsid w:val="00E14457"/>
    <w:rsid w:val="00E83527"/>
    <w:rsid w:val="00E86CF7"/>
    <w:rsid w:val="00E90EFA"/>
    <w:rsid w:val="00E93CBC"/>
    <w:rsid w:val="00EB333D"/>
    <w:rsid w:val="00EC6CD9"/>
    <w:rsid w:val="00ED67B4"/>
    <w:rsid w:val="00ED6F86"/>
    <w:rsid w:val="00EE3378"/>
    <w:rsid w:val="00EF673A"/>
    <w:rsid w:val="00F07B93"/>
    <w:rsid w:val="00F219FD"/>
    <w:rsid w:val="00F61C87"/>
    <w:rsid w:val="00F668E5"/>
    <w:rsid w:val="00F82CCE"/>
    <w:rsid w:val="00F85917"/>
    <w:rsid w:val="00FA5E97"/>
    <w:rsid w:val="00FC3532"/>
    <w:rsid w:val="00FF7567"/>
    <w:rsid w:val="01767461"/>
    <w:rsid w:val="0196601E"/>
    <w:rsid w:val="01BF2D95"/>
    <w:rsid w:val="01EE5E5A"/>
    <w:rsid w:val="025A16FC"/>
    <w:rsid w:val="02D84023"/>
    <w:rsid w:val="03174F3D"/>
    <w:rsid w:val="03B813FC"/>
    <w:rsid w:val="03B93A43"/>
    <w:rsid w:val="045A3333"/>
    <w:rsid w:val="04E71746"/>
    <w:rsid w:val="05065982"/>
    <w:rsid w:val="05C50C80"/>
    <w:rsid w:val="06071298"/>
    <w:rsid w:val="06A71919"/>
    <w:rsid w:val="06B87CF2"/>
    <w:rsid w:val="07034156"/>
    <w:rsid w:val="076968F9"/>
    <w:rsid w:val="08191757"/>
    <w:rsid w:val="085D5268"/>
    <w:rsid w:val="08A059D4"/>
    <w:rsid w:val="09C92301"/>
    <w:rsid w:val="09ED4C49"/>
    <w:rsid w:val="0A256191"/>
    <w:rsid w:val="0B103C72"/>
    <w:rsid w:val="0B68600E"/>
    <w:rsid w:val="0C3D010C"/>
    <w:rsid w:val="0C525237"/>
    <w:rsid w:val="0CCC5785"/>
    <w:rsid w:val="0D166265"/>
    <w:rsid w:val="0DBF4B4E"/>
    <w:rsid w:val="0DDA1988"/>
    <w:rsid w:val="0E607A8D"/>
    <w:rsid w:val="0E8D07A9"/>
    <w:rsid w:val="0EA124EE"/>
    <w:rsid w:val="0ED03F0C"/>
    <w:rsid w:val="0F6C1154"/>
    <w:rsid w:val="106503E8"/>
    <w:rsid w:val="108654B0"/>
    <w:rsid w:val="109738B3"/>
    <w:rsid w:val="109E0A4B"/>
    <w:rsid w:val="111365EE"/>
    <w:rsid w:val="11263370"/>
    <w:rsid w:val="11350C5A"/>
    <w:rsid w:val="115141C4"/>
    <w:rsid w:val="11740862"/>
    <w:rsid w:val="11A82222"/>
    <w:rsid w:val="11AF0730"/>
    <w:rsid w:val="12525D00"/>
    <w:rsid w:val="126325F9"/>
    <w:rsid w:val="1319375A"/>
    <w:rsid w:val="13333A80"/>
    <w:rsid w:val="13356166"/>
    <w:rsid w:val="133D37DC"/>
    <w:rsid w:val="13531FC1"/>
    <w:rsid w:val="13707BEB"/>
    <w:rsid w:val="137A06B7"/>
    <w:rsid w:val="138256F2"/>
    <w:rsid w:val="13836BBB"/>
    <w:rsid w:val="13CB402D"/>
    <w:rsid w:val="13EF0916"/>
    <w:rsid w:val="140D6DBC"/>
    <w:rsid w:val="149F2FE4"/>
    <w:rsid w:val="15006519"/>
    <w:rsid w:val="150F3CC6"/>
    <w:rsid w:val="153B0F5F"/>
    <w:rsid w:val="15D13671"/>
    <w:rsid w:val="16290FC2"/>
    <w:rsid w:val="16A448E1"/>
    <w:rsid w:val="16AD7C3A"/>
    <w:rsid w:val="170A3E18"/>
    <w:rsid w:val="17804C49"/>
    <w:rsid w:val="179A7932"/>
    <w:rsid w:val="18901EE1"/>
    <w:rsid w:val="18D23988"/>
    <w:rsid w:val="19353F17"/>
    <w:rsid w:val="195425EF"/>
    <w:rsid w:val="196919F1"/>
    <w:rsid w:val="19B27315"/>
    <w:rsid w:val="19B80DD0"/>
    <w:rsid w:val="19D61256"/>
    <w:rsid w:val="1A80302E"/>
    <w:rsid w:val="1AB64BE3"/>
    <w:rsid w:val="1AED1C38"/>
    <w:rsid w:val="1B216501"/>
    <w:rsid w:val="1B8642AB"/>
    <w:rsid w:val="1BF400B9"/>
    <w:rsid w:val="1C033E58"/>
    <w:rsid w:val="1CCE1292"/>
    <w:rsid w:val="1D100F23"/>
    <w:rsid w:val="1D197650"/>
    <w:rsid w:val="1D2A0508"/>
    <w:rsid w:val="1D884F5D"/>
    <w:rsid w:val="1DE101C9"/>
    <w:rsid w:val="1E0A499C"/>
    <w:rsid w:val="1EB42688"/>
    <w:rsid w:val="1F2D536B"/>
    <w:rsid w:val="1F3A1336"/>
    <w:rsid w:val="1F406192"/>
    <w:rsid w:val="1F5A46D7"/>
    <w:rsid w:val="1FED6F19"/>
    <w:rsid w:val="200F4F1C"/>
    <w:rsid w:val="201548D9"/>
    <w:rsid w:val="20523600"/>
    <w:rsid w:val="207812B9"/>
    <w:rsid w:val="208131B9"/>
    <w:rsid w:val="20E50885"/>
    <w:rsid w:val="20FD17BE"/>
    <w:rsid w:val="210F6CE6"/>
    <w:rsid w:val="218C684C"/>
    <w:rsid w:val="21A77CC7"/>
    <w:rsid w:val="21B207FA"/>
    <w:rsid w:val="21BC317E"/>
    <w:rsid w:val="22187F75"/>
    <w:rsid w:val="236817AF"/>
    <w:rsid w:val="24062738"/>
    <w:rsid w:val="24DA01B7"/>
    <w:rsid w:val="24F20F0E"/>
    <w:rsid w:val="251B059B"/>
    <w:rsid w:val="254F010E"/>
    <w:rsid w:val="258142A0"/>
    <w:rsid w:val="25981AB5"/>
    <w:rsid w:val="276C144B"/>
    <w:rsid w:val="27FC457D"/>
    <w:rsid w:val="2836274E"/>
    <w:rsid w:val="286F11F3"/>
    <w:rsid w:val="28991DCC"/>
    <w:rsid w:val="28CD7CC8"/>
    <w:rsid w:val="290C6A42"/>
    <w:rsid w:val="2927562A"/>
    <w:rsid w:val="296840D3"/>
    <w:rsid w:val="29910CF5"/>
    <w:rsid w:val="2A2861DF"/>
    <w:rsid w:val="2A39033E"/>
    <w:rsid w:val="2A3A1C7A"/>
    <w:rsid w:val="2A9F6F8E"/>
    <w:rsid w:val="2AB8768D"/>
    <w:rsid w:val="2BEE6965"/>
    <w:rsid w:val="2C7C5C8D"/>
    <w:rsid w:val="2CA034F5"/>
    <w:rsid w:val="2CD8108A"/>
    <w:rsid w:val="2CE37ABA"/>
    <w:rsid w:val="2D21329B"/>
    <w:rsid w:val="2D850B71"/>
    <w:rsid w:val="2E0629B9"/>
    <w:rsid w:val="2EA1377B"/>
    <w:rsid w:val="2F7A3385"/>
    <w:rsid w:val="2FA60D2C"/>
    <w:rsid w:val="2FAC383D"/>
    <w:rsid w:val="2FC55B9D"/>
    <w:rsid w:val="3011493E"/>
    <w:rsid w:val="30433CC5"/>
    <w:rsid w:val="3052542C"/>
    <w:rsid w:val="305E70DA"/>
    <w:rsid w:val="307373A7"/>
    <w:rsid w:val="30780B91"/>
    <w:rsid w:val="307D0225"/>
    <w:rsid w:val="3081257B"/>
    <w:rsid w:val="30E107B0"/>
    <w:rsid w:val="3102263E"/>
    <w:rsid w:val="31416E59"/>
    <w:rsid w:val="317621A6"/>
    <w:rsid w:val="318F0210"/>
    <w:rsid w:val="31F369F1"/>
    <w:rsid w:val="3227669B"/>
    <w:rsid w:val="32527E56"/>
    <w:rsid w:val="32A269AE"/>
    <w:rsid w:val="3326578F"/>
    <w:rsid w:val="34125129"/>
    <w:rsid w:val="34903BA6"/>
    <w:rsid w:val="34A51953"/>
    <w:rsid w:val="34B54432"/>
    <w:rsid w:val="34EE524E"/>
    <w:rsid w:val="357D6508"/>
    <w:rsid w:val="35877F8E"/>
    <w:rsid w:val="3669267B"/>
    <w:rsid w:val="36A36952"/>
    <w:rsid w:val="36FB1EA4"/>
    <w:rsid w:val="38A7698B"/>
    <w:rsid w:val="394E65B0"/>
    <w:rsid w:val="396A20CA"/>
    <w:rsid w:val="398E0DAD"/>
    <w:rsid w:val="3A881E93"/>
    <w:rsid w:val="3BD34132"/>
    <w:rsid w:val="3C3C71E7"/>
    <w:rsid w:val="3CC33464"/>
    <w:rsid w:val="3D98669F"/>
    <w:rsid w:val="3DA7212B"/>
    <w:rsid w:val="3DB57251"/>
    <w:rsid w:val="3DD60F75"/>
    <w:rsid w:val="3E447774"/>
    <w:rsid w:val="3E787F08"/>
    <w:rsid w:val="3E7A3FF6"/>
    <w:rsid w:val="3EB26ED9"/>
    <w:rsid w:val="3EF75647"/>
    <w:rsid w:val="3F952674"/>
    <w:rsid w:val="3FD342AB"/>
    <w:rsid w:val="40381A73"/>
    <w:rsid w:val="403A7C27"/>
    <w:rsid w:val="40A8309D"/>
    <w:rsid w:val="40B6326D"/>
    <w:rsid w:val="41055DF9"/>
    <w:rsid w:val="41D07026"/>
    <w:rsid w:val="42DA32B5"/>
    <w:rsid w:val="43DD12AF"/>
    <w:rsid w:val="44A37FE0"/>
    <w:rsid w:val="44F60723"/>
    <w:rsid w:val="45663713"/>
    <w:rsid w:val="45790B64"/>
    <w:rsid w:val="45AD2F03"/>
    <w:rsid w:val="46326F64"/>
    <w:rsid w:val="46663EDF"/>
    <w:rsid w:val="47336E5F"/>
    <w:rsid w:val="47413512"/>
    <w:rsid w:val="479102E8"/>
    <w:rsid w:val="47C307BC"/>
    <w:rsid w:val="47C3256A"/>
    <w:rsid w:val="480B2132"/>
    <w:rsid w:val="480D39C0"/>
    <w:rsid w:val="481D3B60"/>
    <w:rsid w:val="48311BC9"/>
    <w:rsid w:val="48B4178D"/>
    <w:rsid w:val="48E1021F"/>
    <w:rsid w:val="48FD385A"/>
    <w:rsid w:val="496B4C67"/>
    <w:rsid w:val="49C82942"/>
    <w:rsid w:val="4A1511C7"/>
    <w:rsid w:val="4A421E6C"/>
    <w:rsid w:val="4A727E66"/>
    <w:rsid w:val="4AF31D4E"/>
    <w:rsid w:val="4B0215FB"/>
    <w:rsid w:val="4B0D3002"/>
    <w:rsid w:val="4B8B7843"/>
    <w:rsid w:val="4C2A0055"/>
    <w:rsid w:val="4CC57A38"/>
    <w:rsid w:val="4DB52955"/>
    <w:rsid w:val="4E0308B0"/>
    <w:rsid w:val="4E544239"/>
    <w:rsid w:val="4E9764FE"/>
    <w:rsid w:val="4F9278D4"/>
    <w:rsid w:val="4FCC3F86"/>
    <w:rsid w:val="4FD52CA0"/>
    <w:rsid w:val="50434931"/>
    <w:rsid w:val="50947199"/>
    <w:rsid w:val="514A5AAA"/>
    <w:rsid w:val="51AF09FA"/>
    <w:rsid w:val="51C070C6"/>
    <w:rsid w:val="51FD26F0"/>
    <w:rsid w:val="520677B5"/>
    <w:rsid w:val="52701540"/>
    <w:rsid w:val="52880638"/>
    <w:rsid w:val="534C01F5"/>
    <w:rsid w:val="537137C2"/>
    <w:rsid w:val="53A45945"/>
    <w:rsid w:val="53A616BE"/>
    <w:rsid w:val="53C81E79"/>
    <w:rsid w:val="54755A87"/>
    <w:rsid w:val="54EE7A00"/>
    <w:rsid w:val="55434CEA"/>
    <w:rsid w:val="558967F5"/>
    <w:rsid w:val="55926FF0"/>
    <w:rsid w:val="55AA6B17"/>
    <w:rsid w:val="55C64399"/>
    <w:rsid w:val="56C41E5B"/>
    <w:rsid w:val="56D04E5F"/>
    <w:rsid w:val="56D7393C"/>
    <w:rsid w:val="570D735E"/>
    <w:rsid w:val="57686B67"/>
    <w:rsid w:val="57BF0824"/>
    <w:rsid w:val="57CE2F91"/>
    <w:rsid w:val="582625DC"/>
    <w:rsid w:val="58373201"/>
    <w:rsid w:val="58465C2F"/>
    <w:rsid w:val="58AB1524"/>
    <w:rsid w:val="58C11317"/>
    <w:rsid w:val="58C44394"/>
    <w:rsid w:val="59457283"/>
    <w:rsid w:val="59535EF1"/>
    <w:rsid w:val="595A74EA"/>
    <w:rsid w:val="59B84DEB"/>
    <w:rsid w:val="59D22626"/>
    <w:rsid w:val="5A4F5EDF"/>
    <w:rsid w:val="5A525663"/>
    <w:rsid w:val="5A6B1B59"/>
    <w:rsid w:val="5ADD173D"/>
    <w:rsid w:val="5AF208DB"/>
    <w:rsid w:val="5B5419FF"/>
    <w:rsid w:val="5B66143B"/>
    <w:rsid w:val="5B8A71CF"/>
    <w:rsid w:val="5BE3570C"/>
    <w:rsid w:val="5BEA4284"/>
    <w:rsid w:val="5C29369F"/>
    <w:rsid w:val="5C2A09B2"/>
    <w:rsid w:val="5C3D74E5"/>
    <w:rsid w:val="5C621811"/>
    <w:rsid w:val="5CF77558"/>
    <w:rsid w:val="5D1807D7"/>
    <w:rsid w:val="5D7C74B0"/>
    <w:rsid w:val="5D7E2D63"/>
    <w:rsid w:val="5DAF73C1"/>
    <w:rsid w:val="5E207966"/>
    <w:rsid w:val="5E270FDE"/>
    <w:rsid w:val="5E331DA0"/>
    <w:rsid w:val="5E586CB4"/>
    <w:rsid w:val="5EA969D8"/>
    <w:rsid w:val="5ED03A93"/>
    <w:rsid w:val="5F9525E6"/>
    <w:rsid w:val="604610FF"/>
    <w:rsid w:val="608B2F3F"/>
    <w:rsid w:val="608C39E9"/>
    <w:rsid w:val="60A54AAB"/>
    <w:rsid w:val="613832FA"/>
    <w:rsid w:val="61AD00BB"/>
    <w:rsid w:val="61E64557"/>
    <w:rsid w:val="6261089C"/>
    <w:rsid w:val="633C0F2B"/>
    <w:rsid w:val="637C15CE"/>
    <w:rsid w:val="63C705E7"/>
    <w:rsid w:val="64395C36"/>
    <w:rsid w:val="64576D10"/>
    <w:rsid w:val="64D35ED3"/>
    <w:rsid w:val="65300E4B"/>
    <w:rsid w:val="65326D1F"/>
    <w:rsid w:val="65E73470"/>
    <w:rsid w:val="65E846CF"/>
    <w:rsid w:val="66046268"/>
    <w:rsid w:val="660E6C4E"/>
    <w:rsid w:val="66110599"/>
    <w:rsid w:val="66384C50"/>
    <w:rsid w:val="6724334C"/>
    <w:rsid w:val="67896AD5"/>
    <w:rsid w:val="67982C74"/>
    <w:rsid w:val="67B77700"/>
    <w:rsid w:val="67C972D1"/>
    <w:rsid w:val="693B0E48"/>
    <w:rsid w:val="69C46229"/>
    <w:rsid w:val="69CA10DE"/>
    <w:rsid w:val="6A2E0035"/>
    <w:rsid w:val="6A707ED8"/>
    <w:rsid w:val="6A7C5EA6"/>
    <w:rsid w:val="6AB75B07"/>
    <w:rsid w:val="6AF9611F"/>
    <w:rsid w:val="6B0B4096"/>
    <w:rsid w:val="6B431148"/>
    <w:rsid w:val="6B572E46"/>
    <w:rsid w:val="6B6D1429"/>
    <w:rsid w:val="6B79100E"/>
    <w:rsid w:val="6B877E27"/>
    <w:rsid w:val="6BFD1C3F"/>
    <w:rsid w:val="6C111246"/>
    <w:rsid w:val="6C496C32"/>
    <w:rsid w:val="6C59643F"/>
    <w:rsid w:val="6C7672FB"/>
    <w:rsid w:val="6D6F091A"/>
    <w:rsid w:val="6DD54E7A"/>
    <w:rsid w:val="6E9F2B3A"/>
    <w:rsid w:val="6F1A2519"/>
    <w:rsid w:val="6F312F65"/>
    <w:rsid w:val="6F437969"/>
    <w:rsid w:val="6F5B73A8"/>
    <w:rsid w:val="6F857F81"/>
    <w:rsid w:val="6F9A3F15"/>
    <w:rsid w:val="6F9D000B"/>
    <w:rsid w:val="6FAB2E49"/>
    <w:rsid w:val="6FDF24CB"/>
    <w:rsid w:val="6FF66C63"/>
    <w:rsid w:val="704716DB"/>
    <w:rsid w:val="708E10B8"/>
    <w:rsid w:val="710E2616"/>
    <w:rsid w:val="712D11D7"/>
    <w:rsid w:val="714253CB"/>
    <w:rsid w:val="719B184A"/>
    <w:rsid w:val="720F7342"/>
    <w:rsid w:val="7224791E"/>
    <w:rsid w:val="723F7430"/>
    <w:rsid w:val="729D5EBB"/>
    <w:rsid w:val="72E1638E"/>
    <w:rsid w:val="730438B3"/>
    <w:rsid w:val="73241E20"/>
    <w:rsid w:val="7375655F"/>
    <w:rsid w:val="737F7E83"/>
    <w:rsid w:val="73944C37"/>
    <w:rsid w:val="73977CC2"/>
    <w:rsid w:val="7414740E"/>
    <w:rsid w:val="741D2E7E"/>
    <w:rsid w:val="749173C8"/>
    <w:rsid w:val="74B87C4D"/>
    <w:rsid w:val="74CB28DA"/>
    <w:rsid w:val="761E6A3A"/>
    <w:rsid w:val="762027B2"/>
    <w:rsid w:val="765E152C"/>
    <w:rsid w:val="76612DC6"/>
    <w:rsid w:val="76796366"/>
    <w:rsid w:val="77107220"/>
    <w:rsid w:val="77626DFA"/>
    <w:rsid w:val="77660CED"/>
    <w:rsid w:val="777D3C34"/>
    <w:rsid w:val="77811976"/>
    <w:rsid w:val="77B5719B"/>
    <w:rsid w:val="77D31AA6"/>
    <w:rsid w:val="77D521F6"/>
    <w:rsid w:val="78402EC7"/>
    <w:rsid w:val="78886D34"/>
    <w:rsid w:val="78A50DE6"/>
    <w:rsid w:val="78BA53D1"/>
    <w:rsid w:val="78FA281E"/>
    <w:rsid w:val="7A2D7B93"/>
    <w:rsid w:val="7AA64929"/>
    <w:rsid w:val="7B0B653B"/>
    <w:rsid w:val="7B38059E"/>
    <w:rsid w:val="7B56740A"/>
    <w:rsid w:val="7B86755B"/>
    <w:rsid w:val="7BA145FB"/>
    <w:rsid w:val="7BCE4A5E"/>
    <w:rsid w:val="7BE8664E"/>
    <w:rsid w:val="7C3161A6"/>
    <w:rsid w:val="7C58634B"/>
    <w:rsid w:val="7D3C6E31"/>
    <w:rsid w:val="7D4C4BA9"/>
    <w:rsid w:val="7E443F6C"/>
    <w:rsid w:val="7E4965C5"/>
    <w:rsid w:val="7E590F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911DCCB"/>
  <w15:docId w15:val="{6A44BF3A-0EFC-4CC2-8C89-7ADF7964B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uiPriority="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F82CCE"/>
    <w:pPr>
      <w:widowControl w:val="0"/>
      <w:autoSpaceDE w:val="0"/>
      <w:autoSpaceDN w:val="0"/>
    </w:pPr>
    <w:rPr>
      <w:rFonts w:ascii="宋体" w:hAnsi="宋体" w:cs="宋体"/>
      <w:sz w:val="22"/>
      <w:szCs w:val="22"/>
      <w:lang w:eastAsia="en-US" w:bidi="en-US"/>
    </w:rPr>
  </w:style>
  <w:style w:type="paragraph" w:styleId="1">
    <w:name w:val="heading 1"/>
    <w:basedOn w:val="a"/>
    <w:next w:val="a"/>
    <w:uiPriority w:val="1"/>
    <w:qFormat/>
    <w:pPr>
      <w:spacing w:line="470" w:lineRule="exact"/>
      <w:ind w:left="680"/>
      <w:outlineLvl w:val="0"/>
    </w:pPr>
    <w:rPr>
      <w:rFonts w:ascii="Microsoft JhengHei" w:eastAsia="Microsoft JhengHei" w:hAnsi="Microsoft JhengHei" w:cs="Microsoft JhengHei"/>
      <w:b/>
      <w:bCs/>
      <w:sz w:val="28"/>
      <w:szCs w:val="28"/>
    </w:rPr>
  </w:style>
  <w:style w:type="paragraph" w:styleId="2">
    <w:name w:val="heading 2"/>
    <w:basedOn w:val="a"/>
    <w:next w:val="a"/>
    <w:uiPriority w:val="1"/>
    <w:qFormat/>
    <w:pPr>
      <w:ind w:left="680"/>
      <w:outlineLvl w:val="1"/>
    </w:pPr>
    <w:rPr>
      <w:rFonts w:ascii="Microsoft JhengHei" w:eastAsia="Microsoft JhengHei" w:hAnsi="Microsoft JhengHei" w:cs="Microsoft JhengHei"/>
      <w:b/>
      <w:bCs/>
      <w:sz w:val="24"/>
      <w:szCs w:val="24"/>
    </w:rPr>
  </w:style>
  <w:style w:type="paragraph" w:styleId="3">
    <w:name w:val="heading 3"/>
    <w:basedOn w:val="a"/>
    <w:next w:val="a"/>
    <w:uiPriority w:val="1"/>
    <w:qFormat/>
    <w:pPr>
      <w:ind w:left="896" w:hanging="385"/>
      <w:outlineLvl w:val="2"/>
    </w:pPr>
    <w:rPr>
      <w:rFonts w:ascii="Microsoft JhengHei" w:eastAsia="Microsoft JhengHei" w:hAnsi="Microsoft JhengHei" w:cs="Microsoft JhengHei"/>
      <w:b/>
      <w:bCs/>
    </w:rPr>
  </w:style>
  <w:style w:type="paragraph" w:styleId="4">
    <w:name w:val="heading 4"/>
    <w:basedOn w:val="a"/>
    <w:next w:val="a"/>
    <w:uiPriority w:val="1"/>
    <w:qFormat/>
    <w:pPr>
      <w:ind w:left="680"/>
      <w:outlineLvl w:val="3"/>
    </w:pPr>
    <w:rPr>
      <w:rFonts w:ascii="Microsoft JhengHei" w:eastAsia="Microsoft JhengHei" w:hAnsi="Microsoft JhengHei" w:cs="Microsoft JhengHei"/>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style>
  <w:style w:type="paragraph" w:styleId="a5">
    <w:name w:val="Body Text"/>
    <w:basedOn w:val="a"/>
    <w:link w:val="a6"/>
    <w:uiPriority w:val="1"/>
    <w:qFormat/>
    <w:rPr>
      <w:sz w:val="21"/>
      <w:szCs w:val="21"/>
    </w:rPr>
  </w:style>
  <w:style w:type="paragraph" w:styleId="a7">
    <w:name w:val="footer"/>
    <w:basedOn w:val="a"/>
    <w:link w:val="a8"/>
    <w:qFormat/>
    <w:pPr>
      <w:tabs>
        <w:tab w:val="center" w:pos="4153"/>
        <w:tab w:val="right" w:pos="8306"/>
      </w:tabs>
      <w:snapToGrid w:val="0"/>
    </w:pPr>
    <w:rPr>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qFormat/>
    <w:rPr>
      <w:b/>
      <w:bCs/>
    </w:rPr>
  </w:style>
  <w:style w:type="character" w:styleId="ad">
    <w:name w:val="FollowedHyperlink"/>
    <w:basedOn w:val="a0"/>
    <w:qFormat/>
    <w:rPr>
      <w:color w:val="2962FF"/>
      <w:u w:val="none"/>
    </w:rPr>
  </w:style>
  <w:style w:type="character" w:styleId="ae">
    <w:name w:val="Hyperlink"/>
    <w:basedOn w:val="a0"/>
    <w:qFormat/>
    <w:rPr>
      <w:color w:val="2962FF"/>
      <w:u w:val="none"/>
    </w:rPr>
  </w:style>
  <w:style w:type="character" w:styleId="af">
    <w:name w:val="annotation reference"/>
    <w:basedOn w:val="a0"/>
    <w:qFormat/>
    <w:rPr>
      <w:sz w:val="21"/>
      <w:szCs w:val="21"/>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0">
    <w:name w:val="List Paragraph"/>
    <w:basedOn w:val="a"/>
    <w:uiPriority w:val="1"/>
    <w:qFormat/>
    <w:pPr>
      <w:ind w:left="1040" w:hanging="361"/>
    </w:pPr>
  </w:style>
  <w:style w:type="paragraph" w:customStyle="1" w:styleId="TableParagraph">
    <w:name w:val="Table Paragraph"/>
    <w:basedOn w:val="a"/>
    <w:uiPriority w:val="1"/>
    <w:qFormat/>
    <w:rPr>
      <w:rFonts w:ascii="Times New Roman" w:eastAsia="Times New Roman" w:hAnsi="Times New Roman" w:cs="Times New Roman"/>
    </w:rPr>
  </w:style>
  <w:style w:type="character" w:customStyle="1" w:styleId="gbd3">
    <w:name w:val="gb_d3"/>
    <w:basedOn w:val="a0"/>
    <w:qFormat/>
    <w:rPr>
      <w:color w:val="FFFFFF"/>
    </w:rPr>
  </w:style>
  <w:style w:type="character" w:customStyle="1" w:styleId="gbd4">
    <w:name w:val="gb_d4"/>
    <w:basedOn w:val="a0"/>
    <w:qFormat/>
    <w:rPr>
      <w:u w:val="none"/>
    </w:rPr>
  </w:style>
  <w:style w:type="character" w:customStyle="1" w:styleId="fszzbb1">
    <w:name w:val="fszzbb1"/>
    <w:basedOn w:val="a0"/>
    <w:qFormat/>
  </w:style>
  <w:style w:type="character" w:customStyle="1" w:styleId="gbd">
    <w:name w:val="gb_d"/>
    <w:basedOn w:val="a0"/>
    <w:qFormat/>
    <w:rPr>
      <w:u w:val="none"/>
    </w:rPr>
  </w:style>
  <w:style w:type="character" w:customStyle="1" w:styleId="gbd1">
    <w:name w:val="gb_d1"/>
    <w:basedOn w:val="a0"/>
    <w:qFormat/>
    <w:rPr>
      <w:color w:val="FFFFFF"/>
    </w:rPr>
  </w:style>
  <w:style w:type="character" w:customStyle="1" w:styleId="a4">
    <w:name w:val="批注文字 字符"/>
    <w:basedOn w:val="a0"/>
    <w:link w:val="a3"/>
    <w:qFormat/>
    <w:rPr>
      <w:rFonts w:ascii="宋体" w:hAnsi="宋体" w:cs="宋体"/>
      <w:sz w:val="22"/>
      <w:szCs w:val="22"/>
      <w:lang w:eastAsia="en-US" w:bidi="en-US"/>
    </w:rPr>
  </w:style>
  <w:style w:type="character" w:customStyle="1" w:styleId="ac">
    <w:name w:val="批注主题 字符"/>
    <w:basedOn w:val="a4"/>
    <w:link w:val="ab"/>
    <w:qFormat/>
    <w:rPr>
      <w:rFonts w:ascii="宋体" w:hAnsi="宋体" w:cs="宋体"/>
      <w:b/>
      <w:bCs/>
      <w:sz w:val="22"/>
      <w:szCs w:val="22"/>
      <w:lang w:eastAsia="en-US" w:bidi="en-US"/>
    </w:rPr>
  </w:style>
  <w:style w:type="paragraph" w:customStyle="1" w:styleId="10">
    <w:name w:val="修订1"/>
    <w:hidden/>
    <w:uiPriority w:val="99"/>
    <w:semiHidden/>
    <w:qFormat/>
    <w:rPr>
      <w:rFonts w:ascii="宋体" w:hAnsi="宋体" w:cs="宋体"/>
      <w:sz w:val="22"/>
      <w:szCs w:val="22"/>
      <w:lang w:eastAsia="en-US" w:bidi="en-US"/>
    </w:rPr>
  </w:style>
  <w:style w:type="paragraph" w:customStyle="1" w:styleId="20">
    <w:name w:val="修订2"/>
    <w:hidden/>
    <w:uiPriority w:val="99"/>
    <w:semiHidden/>
    <w:qFormat/>
    <w:rPr>
      <w:rFonts w:ascii="宋体" w:hAnsi="宋体" w:cs="宋体"/>
      <w:sz w:val="22"/>
      <w:szCs w:val="22"/>
      <w:lang w:eastAsia="en-US" w:bidi="en-US"/>
    </w:rPr>
  </w:style>
  <w:style w:type="character" w:customStyle="1" w:styleId="aa">
    <w:name w:val="页眉 字符"/>
    <w:basedOn w:val="a0"/>
    <w:link w:val="a9"/>
    <w:qFormat/>
    <w:rPr>
      <w:rFonts w:ascii="宋体" w:hAnsi="宋体" w:cs="宋体"/>
      <w:sz w:val="18"/>
      <w:szCs w:val="18"/>
      <w:lang w:eastAsia="en-US" w:bidi="en-US"/>
    </w:rPr>
  </w:style>
  <w:style w:type="character" w:customStyle="1" w:styleId="a8">
    <w:name w:val="页脚 字符"/>
    <w:basedOn w:val="a0"/>
    <w:link w:val="a7"/>
    <w:qFormat/>
    <w:rPr>
      <w:rFonts w:ascii="宋体" w:hAnsi="宋体" w:cs="宋体"/>
      <w:sz w:val="18"/>
      <w:szCs w:val="18"/>
      <w:lang w:eastAsia="en-US" w:bidi="en-US"/>
    </w:rPr>
  </w:style>
  <w:style w:type="paragraph" w:customStyle="1" w:styleId="30">
    <w:name w:val="修订3"/>
    <w:hidden/>
    <w:uiPriority w:val="99"/>
    <w:semiHidden/>
    <w:qFormat/>
    <w:rPr>
      <w:rFonts w:ascii="宋体" w:hAnsi="宋体" w:cs="宋体"/>
      <w:sz w:val="22"/>
      <w:szCs w:val="22"/>
      <w:lang w:eastAsia="en-US" w:bidi="en-US"/>
    </w:rPr>
  </w:style>
  <w:style w:type="paragraph" w:customStyle="1" w:styleId="Main">
    <w:name w:val="Main"/>
    <w:basedOn w:val="a"/>
    <w:qFormat/>
    <w:pPr>
      <w:tabs>
        <w:tab w:val="left" w:pos="440"/>
        <w:tab w:val="left" w:pos="900"/>
        <w:tab w:val="left" w:pos="1340"/>
      </w:tabs>
      <w:ind w:right="18"/>
    </w:pPr>
  </w:style>
  <w:style w:type="paragraph" w:customStyle="1" w:styleId="Note">
    <w:name w:val="Note"/>
    <w:basedOn w:val="a"/>
    <w:qFormat/>
    <w:pPr>
      <w:jc w:val="right"/>
    </w:pPr>
  </w:style>
  <w:style w:type="paragraph" w:customStyle="1" w:styleId="FigureHead">
    <w:name w:val="FigureHead"/>
    <w:basedOn w:val="a"/>
    <w:qFormat/>
    <w:pPr>
      <w:ind w:right="180"/>
      <w:jc w:val="right"/>
    </w:pPr>
    <w:rPr>
      <w:i/>
    </w:rPr>
  </w:style>
  <w:style w:type="paragraph" w:styleId="af1">
    <w:name w:val="Normal (Web)"/>
    <w:basedOn w:val="a"/>
    <w:uiPriority w:val="99"/>
    <w:unhideWhenUsed/>
    <w:rsid w:val="00C54D15"/>
    <w:pPr>
      <w:widowControl/>
      <w:autoSpaceDE/>
      <w:autoSpaceDN/>
      <w:spacing w:before="100" w:beforeAutospacing="1" w:after="100" w:afterAutospacing="1"/>
    </w:pPr>
    <w:rPr>
      <w:sz w:val="24"/>
      <w:szCs w:val="24"/>
      <w:lang w:eastAsia="zh-CN" w:bidi="ar-SA"/>
    </w:rPr>
  </w:style>
  <w:style w:type="character" w:customStyle="1" w:styleId="a6">
    <w:name w:val="正文文本 字符"/>
    <w:basedOn w:val="a0"/>
    <w:link w:val="a5"/>
    <w:uiPriority w:val="1"/>
    <w:rsid w:val="003E4F9A"/>
    <w:rPr>
      <w:rFonts w:ascii="宋体" w:hAnsi="宋体" w:cs="宋体"/>
      <w:sz w:val="21"/>
      <w:szCs w:val="21"/>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91798D1-4F3C-46F9-BDAD-457C9FC12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3</Pages>
  <Words>295</Words>
  <Characters>1686</Characters>
  <Application>Microsoft Office Word</Application>
  <DocSecurity>0</DocSecurity>
  <Lines>14</Lines>
  <Paragraphs>3</Paragraphs>
  <ScaleCrop>false</ScaleCrop>
  <Company/>
  <LinksUpToDate>false</LinksUpToDate>
  <CharactersWithSpaces>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self</dc:creator>
  <cp:lastModifiedBy>USER</cp:lastModifiedBy>
  <cp:revision>60</cp:revision>
  <dcterms:created xsi:type="dcterms:W3CDTF">2024-08-28T07:09:00Z</dcterms:created>
  <dcterms:modified xsi:type="dcterms:W3CDTF">2024-09-10T07:58:00Z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2021-08-13T00:00:00Z</vt:filetime>
  </property>
  <property fmtid="{D5CDD505-2E9C-101B-9397-08002B2CF9AE}" pid="3" name="Creator">
    <vt:lpwstr>Microsoft® Word 2019</vt:lpwstr>
  </property>
  <property fmtid="{D5CDD505-2E9C-101B-9397-08002B2CF9AE}" pid="4" name="LastSaved">
    <vt:filetime>2022-06-24T00:00:00Z</vt:filetime>
  </property>
  <property fmtid="{D5CDD505-2E9C-101B-9397-08002B2CF9AE}" pid="5" name="KSOProductBuildVer">
    <vt:lpwstr>2052-11.1.0.14309</vt:lpwstr>
  </property>
  <property fmtid="{D5CDD505-2E9C-101B-9397-08002B2CF9AE}" pid="6" name="ICV">
    <vt:lpwstr>FD2303B8BD1442F4876065ADB4974EA0_13</vt:lpwstr>
  </property>
</Properties>
</file>